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05533" w14:textId="77777777" w:rsidR="00D45BCA" w:rsidRPr="00AE5DDA" w:rsidRDefault="00D45BCA" w:rsidP="00D727D1">
      <w:pPr>
        <w:jc w:val="center"/>
        <w:rPr>
          <w:b/>
          <w:sz w:val="28"/>
          <w:szCs w:val="28"/>
        </w:rPr>
      </w:pPr>
    </w:p>
    <w:p w14:paraId="3E912F6A" w14:textId="4F95FEAA" w:rsidR="00D45BCA" w:rsidRPr="00AE5DDA" w:rsidRDefault="00D45BCA" w:rsidP="00D727D1">
      <w:pPr>
        <w:jc w:val="center"/>
        <w:rPr>
          <w:b/>
          <w:sz w:val="28"/>
          <w:szCs w:val="28"/>
        </w:rPr>
      </w:pPr>
      <w:r w:rsidRPr="00AE5DDA">
        <w:rPr>
          <w:b/>
          <w:sz w:val="28"/>
          <w:szCs w:val="28"/>
        </w:rPr>
        <w:t>Status of Diversity in Need for and Use of VJLAP Services</w:t>
      </w:r>
    </w:p>
    <w:p w14:paraId="1F53093C" w14:textId="025DA156" w:rsidR="00D45BCA" w:rsidRPr="00AE5DDA" w:rsidRDefault="00D45BCA" w:rsidP="00D727D1">
      <w:pPr>
        <w:jc w:val="center"/>
        <w:rPr>
          <w:b/>
          <w:sz w:val="28"/>
          <w:szCs w:val="28"/>
        </w:rPr>
      </w:pPr>
      <w:r w:rsidRPr="00AE5DDA">
        <w:rPr>
          <w:b/>
          <w:sz w:val="28"/>
          <w:szCs w:val="28"/>
        </w:rPr>
        <w:t>2021 CLE</w:t>
      </w:r>
    </w:p>
    <w:p w14:paraId="5D030661" w14:textId="6B6E6E46" w:rsidR="00D45BCA" w:rsidRPr="00AE5DDA" w:rsidRDefault="00D45BCA" w:rsidP="00D45BCA">
      <w:pPr>
        <w:pBdr>
          <w:bottom w:val="single" w:sz="4" w:space="1" w:color="auto"/>
        </w:pBdr>
        <w:spacing w:after="0"/>
        <w:rPr>
          <w:szCs w:val="24"/>
        </w:rPr>
      </w:pPr>
      <w:r w:rsidRPr="00AE5DDA">
        <w:rPr>
          <w:szCs w:val="24"/>
        </w:rPr>
        <w:t>Virginia Judges and Lawyers Assistance Program</w:t>
      </w:r>
    </w:p>
    <w:p w14:paraId="07A8A27E" w14:textId="1FE6DDAD" w:rsidR="00D45BCA" w:rsidRPr="00AE5DDA" w:rsidRDefault="00D45BCA" w:rsidP="00D45BCA">
      <w:pPr>
        <w:pBdr>
          <w:bottom w:val="single" w:sz="4" w:space="1" w:color="auto"/>
        </w:pBdr>
        <w:spacing w:after="0"/>
        <w:rPr>
          <w:szCs w:val="24"/>
        </w:rPr>
      </w:pPr>
      <w:r w:rsidRPr="00AE5DDA">
        <w:rPr>
          <w:szCs w:val="24"/>
        </w:rPr>
        <w:t>Fall Retreat</w:t>
      </w:r>
    </w:p>
    <w:p w14:paraId="645B5C0A" w14:textId="16EE8891" w:rsidR="00D45BCA" w:rsidRPr="00AE5DDA" w:rsidRDefault="00D45BCA" w:rsidP="00D45BCA">
      <w:pPr>
        <w:pBdr>
          <w:bottom w:val="single" w:sz="4" w:space="1" w:color="auto"/>
        </w:pBdr>
        <w:spacing w:after="0"/>
        <w:rPr>
          <w:szCs w:val="24"/>
        </w:rPr>
      </w:pPr>
      <w:r w:rsidRPr="00AE5DDA">
        <w:rPr>
          <w:szCs w:val="24"/>
        </w:rPr>
        <w:t>September 17-18, 2021</w:t>
      </w:r>
    </w:p>
    <w:p w14:paraId="49C99122" w14:textId="77777777" w:rsidR="00AE5DDA" w:rsidRDefault="00AE5DDA" w:rsidP="00AE5DDA">
      <w:pPr>
        <w:rPr>
          <w:szCs w:val="24"/>
        </w:rPr>
      </w:pPr>
    </w:p>
    <w:p w14:paraId="270FEBBB" w14:textId="77777777" w:rsidR="00AE5DDA" w:rsidRPr="00AE5DDA" w:rsidRDefault="00AE5DDA" w:rsidP="00AE5DDA">
      <w:pPr>
        <w:rPr>
          <w:b/>
          <w:szCs w:val="24"/>
        </w:rPr>
      </w:pPr>
      <w:r w:rsidRPr="00AE5DDA">
        <w:rPr>
          <w:b/>
          <w:szCs w:val="24"/>
        </w:rPr>
        <w:t>Status of Diversity in Need for and Use of VJLAP Services</w:t>
      </w:r>
    </w:p>
    <w:p w14:paraId="77717608" w14:textId="77777777" w:rsidR="00AE5DDA" w:rsidRPr="00AE5DDA" w:rsidRDefault="00AE5DDA" w:rsidP="00AE5DDA">
      <w:pPr>
        <w:rPr>
          <w:b/>
          <w:szCs w:val="24"/>
          <w:u w:val="single"/>
        </w:rPr>
      </w:pPr>
      <w:r w:rsidRPr="00AE5DDA">
        <w:rPr>
          <w:b/>
          <w:szCs w:val="24"/>
          <w:u w:val="single"/>
        </w:rPr>
        <w:t xml:space="preserve">Summary: </w:t>
      </w:r>
    </w:p>
    <w:p w14:paraId="56CA0378" w14:textId="77777777" w:rsidR="00AE5DDA" w:rsidRPr="00AE5DDA" w:rsidRDefault="00AE5DDA" w:rsidP="00AE5DDA">
      <w:pPr>
        <w:pStyle w:val="ListParagraph"/>
        <w:numPr>
          <w:ilvl w:val="0"/>
          <w:numId w:val="4"/>
        </w:numPr>
        <w:spacing w:after="0" w:line="240" w:lineRule="auto"/>
        <w:contextualSpacing w:val="0"/>
        <w:rPr>
          <w:rFonts w:cs="Times New Roman"/>
        </w:rPr>
      </w:pPr>
      <w:r w:rsidRPr="00AE5DDA">
        <w:rPr>
          <w:rFonts w:cs="Times New Roman"/>
          <w:iCs/>
        </w:rPr>
        <w:t xml:space="preserve">“Diversity and Inclusion” efforts recognize the need for equity for all members of the legal profession. In so doing, identifying and addressing the risks, vulnerabilities, and barriers to equity is of primary importance. There are disparities in many racial, ethnic, gender, and sexual minorities in this country in mental health concerns, access to services, and mental health outcomes for multiple factors (e.g., cultural stigma surrounding mental health care, discrimination, a lack of awareness about mental health, structural barriers to accessing mental health treatment, inequities in socioeconomic status). </w:t>
      </w:r>
    </w:p>
    <w:p w14:paraId="1EF40875" w14:textId="77777777" w:rsidR="00AE5DDA" w:rsidRPr="00AE5DDA" w:rsidRDefault="00AE5DDA" w:rsidP="00AE5DDA">
      <w:pPr>
        <w:pStyle w:val="ListParagraph"/>
        <w:numPr>
          <w:ilvl w:val="0"/>
          <w:numId w:val="4"/>
        </w:numPr>
        <w:spacing w:after="0" w:line="240" w:lineRule="auto"/>
        <w:contextualSpacing w:val="0"/>
        <w:rPr>
          <w:rFonts w:cs="Times New Roman"/>
        </w:rPr>
      </w:pPr>
      <w:r w:rsidRPr="00AE5DDA">
        <w:rPr>
          <w:rFonts w:cs="Times New Roman"/>
          <w:iCs/>
        </w:rPr>
        <w:t xml:space="preserve">Research has identified disparities in regard to risk, prevalence, course and treatment of mental disorders. </w:t>
      </w:r>
    </w:p>
    <w:p w14:paraId="12F53FA2" w14:textId="77777777" w:rsidR="00AE5DDA" w:rsidRPr="00AE5DDA" w:rsidRDefault="00AE5DDA" w:rsidP="00AE5DDA">
      <w:pPr>
        <w:pStyle w:val="ListParagraph"/>
        <w:numPr>
          <w:ilvl w:val="0"/>
          <w:numId w:val="4"/>
        </w:numPr>
        <w:spacing w:after="0" w:line="240" w:lineRule="auto"/>
        <w:contextualSpacing w:val="0"/>
        <w:rPr>
          <w:rFonts w:cs="Times New Roman"/>
        </w:rPr>
      </w:pPr>
      <w:r w:rsidRPr="00AE5DDA">
        <w:rPr>
          <w:rFonts w:cs="Times New Roman"/>
          <w:iCs/>
        </w:rPr>
        <w:t>Diverse lawyers have the occupational risks in the practice of law as well as those that are population specific (e.g., history of marginalization, intergenerational historical trauma, lower measures on the social determinants of physical health, discrimination). Data show that additional workplace stressors and the pandemic have added to the stress of practicing law and to diverse lawyers specifically.  </w:t>
      </w:r>
    </w:p>
    <w:p w14:paraId="6596D622" w14:textId="77777777" w:rsidR="00AE5DDA" w:rsidRPr="00AE5DDA" w:rsidRDefault="00AE5DDA" w:rsidP="00AE5DDA">
      <w:pPr>
        <w:pStyle w:val="ListParagraph"/>
        <w:numPr>
          <w:ilvl w:val="0"/>
          <w:numId w:val="4"/>
        </w:numPr>
        <w:spacing w:after="0" w:line="240" w:lineRule="auto"/>
        <w:contextualSpacing w:val="0"/>
        <w:rPr>
          <w:rFonts w:cs="Times New Roman"/>
        </w:rPr>
      </w:pPr>
      <w:r w:rsidRPr="00AE5DDA">
        <w:rPr>
          <w:rFonts w:cs="Times New Roman"/>
          <w:iCs/>
        </w:rPr>
        <w:t xml:space="preserve">The moderator will start with a discussion on the statistics on (i) addiction and mental health disorders; (ii) impediments to accessing services; and (iii) the proportional rates for accessing services in the general population, in the legal community, and in diverse populations. </w:t>
      </w:r>
    </w:p>
    <w:p w14:paraId="66A1BD9A" w14:textId="77777777" w:rsidR="00AE5DDA" w:rsidRPr="00AE5DDA" w:rsidRDefault="00AE5DDA" w:rsidP="00AE5DDA">
      <w:pPr>
        <w:pStyle w:val="ListParagraph"/>
        <w:numPr>
          <w:ilvl w:val="0"/>
          <w:numId w:val="7"/>
        </w:numPr>
        <w:spacing w:after="0" w:line="240" w:lineRule="auto"/>
        <w:contextualSpacing w:val="0"/>
        <w:rPr>
          <w:rFonts w:cs="Times New Roman"/>
        </w:rPr>
      </w:pPr>
      <w:r w:rsidRPr="00AE5DDA">
        <w:rPr>
          <w:rFonts w:cs="Times New Roman"/>
          <w:iCs/>
        </w:rPr>
        <w:t xml:space="preserve">The program will review what panelists have seen within their work communities on the risks for mental health problems and barriers to identifying and addressing mental health needs that are unique to diverse lawyer populations – from the perspective of private firms (large, small, and solo), government, and the judiciary. </w:t>
      </w:r>
    </w:p>
    <w:p w14:paraId="65F3A252" w14:textId="77777777" w:rsidR="00AE5DDA" w:rsidRPr="00AE5DDA" w:rsidRDefault="00AE5DDA" w:rsidP="00AE5DDA">
      <w:pPr>
        <w:pStyle w:val="ListParagraph"/>
        <w:numPr>
          <w:ilvl w:val="0"/>
          <w:numId w:val="7"/>
        </w:numPr>
        <w:spacing w:after="0" w:line="240" w:lineRule="auto"/>
        <w:contextualSpacing w:val="0"/>
        <w:rPr>
          <w:rFonts w:cs="Times New Roman"/>
        </w:rPr>
      </w:pPr>
      <w:r w:rsidRPr="00AE5DDA">
        <w:rPr>
          <w:rFonts w:cs="Times New Roman"/>
          <w:iCs/>
        </w:rPr>
        <w:t xml:space="preserve">Additionally, the program will briefly explore the intersection of addiction and mental health and the disciplinary system and how delay in accessing services and receipt of mental health services have impacted disciplinary cases. </w:t>
      </w:r>
    </w:p>
    <w:p w14:paraId="4EA71AC6" w14:textId="77777777" w:rsidR="00AE5DDA" w:rsidRPr="00AE5DDA" w:rsidRDefault="00AE5DDA" w:rsidP="00AE5DDA">
      <w:pPr>
        <w:pStyle w:val="ListParagraph"/>
        <w:numPr>
          <w:ilvl w:val="0"/>
          <w:numId w:val="4"/>
        </w:numPr>
        <w:spacing w:after="0" w:line="240" w:lineRule="auto"/>
        <w:contextualSpacing w:val="0"/>
        <w:rPr>
          <w:rFonts w:cs="Times New Roman"/>
        </w:rPr>
      </w:pPr>
      <w:r w:rsidRPr="00AE5DDA">
        <w:rPr>
          <w:rFonts w:cs="Times New Roman"/>
          <w:iCs/>
        </w:rPr>
        <w:t xml:space="preserve">This program will also discuss ways to reduce barriers to asking for and accessing help, including working with VJLAP. </w:t>
      </w:r>
    </w:p>
    <w:p w14:paraId="7BBB08D9" w14:textId="77777777" w:rsidR="00AE5DDA" w:rsidRDefault="00AE5DDA" w:rsidP="00D45BCA">
      <w:pPr>
        <w:rPr>
          <w:rFonts w:cs="Times New Roman"/>
          <w:b/>
          <w:color w:val="000000" w:themeColor="text1"/>
          <w:szCs w:val="24"/>
          <w:u w:val="single"/>
        </w:rPr>
      </w:pPr>
    </w:p>
    <w:p w14:paraId="10E07C0E" w14:textId="77777777" w:rsidR="00AE5DDA" w:rsidRDefault="00AE5DDA">
      <w:pPr>
        <w:rPr>
          <w:rFonts w:cs="Times New Roman"/>
          <w:b/>
          <w:color w:val="000000" w:themeColor="text1"/>
          <w:szCs w:val="24"/>
          <w:u w:val="single"/>
        </w:rPr>
      </w:pPr>
      <w:r>
        <w:rPr>
          <w:rFonts w:cs="Times New Roman"/>
          <w:b/>
          <w:color w:val="000000" w:themeColor="text1"/>
          <w:szCs w:val="24"/>
          <w:u w:val="single"/>
        </w:rPr>
        <w:br w:type="page"/>
      </w:r>
    </w:p>
    <w:p w14:paraId="0D529652" w14:textId="139D33FF" w:rsidR="00D45BCA" w:rsidRPr="00ED1AD2" w:rsidRDefault="00D45BCA" w:rsidP="00D45BCA">
      <w:pPr>
        <w:rPr>
          <w:rFonts w:cs="Times New Roman"/>
          <w:b/>
          <w:color w:val="000000" w:themeColor="text1"/>
          <w:szCs w:val="24"/>
          <w:u w:val="single"/>
        </w:rPr>
      </w:pPr>
      <w:r w:rsidRPr="00ED1AD2">
        <w:rPr>
          <w:rFonts w:cs="Times New Roman"/>
          <w:b/>
          <w:color w:val="000000" w:themeColor="text1"/>
          <w:szCs w:val="24"/>
          <w:u w:val="single"/>
        </w:rPr>
        <w:t>Presenters:</w:t>
      </w:r>
    </w:p>
    <w:p w14:paraId="75E8A863" w14:textId="75B4FBE8" w:rsidR="00D45BCA" w:rsidRDefault="00D45BCA" w:rsidP="00AE5DDA">
      <w:pPr>
        <w:spacing w:after="120"/>
        <w:rPr>
          <w:rFonts w:cs="Times New Roman"/>
          <w:color w:val="000000" w:themeColor="text1"/>
          <w:szCs w:val="24"/>
        </w:rPr>
      </w:pPr>
      <w:r w:rsidRPr="00ED1AD2">
        <w:rPr>
          <w:rFonts w:cs="Times New Roman"/>
          <w:b/>
          <w:color w:val="000000" w:themeColor="text1"/>
          <w:szCs w:val="24"/>
        </w:rPr>
        <w:t>Renu Brennan</w:t>
      </w:r>
      <w:r w:rsidRPr="00ED1AD2">
        <w:rPr>
          <w:rFonts w:cs="Times New Roman"/>
          <w:color w:val="000000" w:themeColor="text1"/>
          <w:szCs w:val="24"/>
        </w:rPr>
        <w:t xml:space="preserve"> (Virginia State Bar Counsel)</w:t>
      </w:r>
    </w:p>
    <w:p w14:paraId="6BD5081C" w14:textId="3C8DBD79" w:rsidR="00ED1AD2" w:rsidRDefault="00ED1AD2" w:rsidP="00AE5DDA">
      <w:pPr>
        <w:spacing w:after="120"/>
        <w:ind w:left="720"/>
        <w:rPr>
          <w:color w:val="222222"/>
        </w:rPr>
      </w:pPr>
      <w:r>
        <w:rPr>
          <w:color w:val="222222"/>
        </w:rPr>
        <w:t xml:space="preserve">Renu currently services as Bar Counsel for the Virginia State Bar. She served as </w:t>
      </w:r>
      <w:r>
        <w:rPr>
          <w:color w:val="222222"/>
        </w:rPr>
        <w:t>Assistant Bar Counsel for the Bar from 2008 to 2016</w:t>
      </w:r>
      <w:r>
        <w:rPr>
          <w:color w:val="222222"/>
        </w:rPr>
        <w:t xml:space="preserve"> and</w:t>
      </w:r>
      <w:r>
        <w:rPr>
          <w:color w:val="222222"/>
        </w:rPr>
        <w:t xml:space="preserve"> has served as Secretary of Lawyers Helping Lawyers and as a member of the ABA Standing Committee on Client Protection. She was a faculty member for the Virginia State Bar Harry L. </w:t>
      </w:r>
      <w:proofErr w:type="spellStart"/>
      <w:r>
        <w:rPr>
          <w:color w:val="222222"/>
        </w:rPr>
        <w:t>Carrico</w:t>
      </w:r>
      <w:proofErr w:type="spellEnd"/>
      <w:r>
        <w:rPr>
          <w:color w:val="222222"/>
        </w:rPr>
        <w:t xml:space="preserve"> Professio</w:t>
      </w:r>
      <w:r>
        <w:rPr>
          <w:color w:val="222222"/>
        </w:rPr>
        <w:t>nalism Course from 2008 to 2011</w:t>
      </w:r>
      <w:r>
        <w:rPr>
          <w:color w:val="222222"/>
        </w:rPr>
        <w:t xml:space="preserve"> and has been a member of the Board of Directors of the Asian Pacific American Bar Association of Virginia since 2007. She also served as co-chair of the Judicial Nominations Committee of APABA-VA from 2009 to 2011. Ms. Brennan </w:t>
      </w:r>
      <w:r>
        <w:rPr>
          <w:color w:val="222222"/>
        </w:rPr>
        <w:t xml:space="preserve">has </w:t>
      </w:r>
      <w:r>
        <w:rPr>
          <w:color w:val="222222"/>
        </w:rPr>
        <w:t xml:space="preserve">participated as an instructor in the Virginia Bar Association’s Rule of Law program. </w:t>
      </w:r>
    </w:p>
    <w:p w14:paraId="49EF430F" w14:textId="66A51248" w:rsidR="00ED1AD2" w:rsidRPr="00ED1AD2" w:rsidRDefault="00ED1AD2" w:rsidP="00AE5DDA">
      <w:pPr>
        <w:spacing w:after="120"/>
        <w:ind w:left="720"/>
        <w:rPr>
          <w:rFonts w:cs="Times New Roman"/>
          <w:color w:val="000000" w:themeColor="text1"/>
          <w:szCs w:val="24"/>
        </w:rPr>
      </w:pPr>
      <w:r>
        <w:rPr>
          <w:color w:val="222222"/>
        </w:rPr>
        <w:t xml:space="preserve">Prior to coming to the Bar, she was a partner with the firm of </w:t>
      </w:r>
      <w:proofErr w:type="spellStart"/>
      <w:r>
        <w:rPr>
          <w:color w:val="222222"/>
        </w:rPr>
        <w:t>Vandeventer</w:t>
      </w:r>
      <w:proofErr w:type="spellEnd"/>
      <w:r>
        <w:rPr>
          <w:color w:val="222222"/>
        </w:rPr>
        <w:t xml:space="preserve"> Black, LLP, where she handled professional malpractice and commercial litigation. From 1998 to 2004, Ms. Brennan was with the firm of Wright, Robinson, </w:t>
      </w:r>
      <w:proofErr w:type="spellStart"/>
      <w:proofErr w:type="gramStart"/>
      <w:r>
        <w:rPr>
          <w:color w:val="222222"/>
        </w:rPr>
        <w:t>Osthimer</w:t>
      </w:r>
      <w:proofErr w:type="spellEnd"/>
      <w:proofErr w:type="gramEnd"/>
      <w:r>
        <w:rPr>
          <w:color w:val="222222"/>
        </w:rPr>
        <w:t xml:space="preserve"> &amp; Tatum in Richmond, Virginia. Ms. Brennan is licensed in Virginia, the District of Columbia, and California, where she practiced in Los Angeles. She holds a bachelor’s degree from the University of Virginia and a law degree from Boston University School of Law.</w:t>
      </w:r>
    </w:p>
    <w:p w14:paraId="3B30DEE1" w14:textId="4FCE317C" w:rsidR="00D45BCA" w:rsidRDefault="00D45BCA" w:rsidP="00AE5DDA">
      <w:pPr>
        <w:spacing w:after="120"/>
        <w:rPr>
          <w:rFonts w:cs="Times New Roman"/>
          <w:color w:val="000000" w:themeColor="text1"/>
          <w:szCs w:val="24"/>
        </w:rPr>
      </w:pPr>
      <w:r w:rsidRPr="00ED1AD2">
        <w:rPr>
          <w:rFonts w:cs="Times New Roman"/>
          <w:b/>
          <w:color w:val="000000" w:themeColor="text1"/>
          <w:szCs w:val="24"/>
        </w:rPr>
        <w:t>Stephen Flores</w:t>
      </w:r>
      <w:r w:rsidRPr="00ED1AD2">
        <w:rPr>
          <w:rFonts w:cs="Times New Roman"/>
          <w:color w:val="000000" w:themeColor="text1"/>
          <w:szCs w:val="24"/>
        </w:rPr>
        <w:t xml:space="preserve"> (Flores Law, LLC)</w:t>
      </w:r>
    </w:p>
    <w:p w14:paraId="1BC8647B" w14:textId="3E959968" w:rsidR="00ED1AD2" w:rsidRDefault="00ED1AD2" w:rsidP="00AE5DDA">
      <w:pPr>
        <w:spacing w:after="120"/>
        <w:ind w:left="720"/>
        <w:rPr>
          <w:rFonts w:cs="Times New Roman"/>
          <w:color w:val="000000" w:themeColor="text1"/>
          <w:szCs w:val="24"/>
        </w:rPr>
      </w:pPr>
      <w:r>
        <w:rPr>
          <w:rFonts w:cs="Times New Roman"/>
          <w:color w:val="000000" w:themeColor="text1"/>
          <w:szCs w:val="24"/>
        </w:rPr>
        <w:t xml:space="preserve">Raised in Roanoke, Virginia, Stephen grew up learning the value of helping others. After graduating from the University of Virginia, he worked as a deputy clerk in the D.C. Court, where he helped pro se individuals with accessing the court. He obtained his law degree from the University of Richmond and has lived in Richmond ever since. After practicing bankruptcy at another firm, Stephen began his bankruptcy with the mission of helping his clients get a fresh start. </w:t>
      </w:r>
    </w:p>
    <w:p w14:paraId="344D4015" w14:textId="214E4135" w:rsidR="00D45BCA" w:rsidRPr="00ED1AD2" w:rsidRDefault="00D45BCA" w:rsidP="00AE5DDA">
      <w:pPr>
        <w:spacing w:after="120"/>
        <w:rPr>
          <w:rFonts w:cs="Times New Roman"/>
          <w:color w:val="000000" w:themeColor="text1"/>
          <w:szCs w:val="24"/>
        </w:rPr>
      </w:pPr>
      <w:r w:rsidRPr="00ED1AD2">
        <w:rPr>
          <w:rFonts w:cs="Times New Roman"/>
          <w:b/>
          <w:color w:val="000000" w:themeColor="text1"/>
          <w:szCs w:val="24"/>
        </w:rPr>
        <w:t>The Honorable Helivi L. Holland</w:t>
      </w:r>
      <w:r w:rsidRPr="00ED1AD2">
        <w:rPr>
          <w:rFonts w:cs="Times New Roman"/>
          <w:color w:val="000000" w:themeColor="text1"/>
          <w:szCs w:val="24"/>
        </w:rPr>
        <w:t xml:space="preserve"> (Suffolk General District Court)</w:t>
      </w:r>
    </w:p>
    <w:p w14:paraId="4A11BE38" w14:textId="106DEC96" w:rsidR="00AE5DDA" w:rsidRDefault="00D45BCA" w:rsidP="00AE5DDA">
      <w:pPr>
        <w:pStyle w:val="NormalWeb"/>
        <w:shd w:val="clear" w:color="auto" w:fill="FFFFFF"/>
        <w:spacing w:before="0" w:beforeAutospacing="0" w:after="120" w:afterAutospacing="0"/>
        <w:ind w:left="720"/>
        <w:rPr>
          <w:color w:val="000000" w:themeColor="text1"/>
          <w:spacing w:val="2"/>
        </w:rPr>
      </w:pPr>
      <w:r w:rsidRPr="00ED1AD2">
        <w:rPr>
          <w:color w:val="000000" w:themeColor="text1"/>
          <w:spacing w:val="2"/>
        </w:rPr>
        <w:t xml:space="preserve">Judge Holland is </w:t>
      </w:r>
      <w:r w:rsidR="00ED1AD2">
        <w:rPr>
          <w:color w:val="000000" w:themeColor="text1"/>
          <w:spacing w:val="2"/>
        </w:rPr>
        <w:t>a</w:t>
      </w:r>
      <w:r w:rsidRPr="00ED1AD2">
        <w:rPr>
          <w:color w:val="000000" w:themeColor="text1"/>
          <w:spacing w:val="2"/>
        </w:rPr>
        <w:t xml:space="preserve"> district court judge for the 5</w:t>
      </w:r>
      <w:r w:rsidRPr="00ED1AD2">
        <w:rPr>
          <w:color w:val="000000" w:themeColor="text1"/>
          <w:spacing w:val="2"/>
          <w:vertAlign w:val="superscript"/>
        </w:rPr>
        <w:t>th</w:t>
      </w:r>
      <w:r w:rsidRPr="00ED1AD2">
        <w:rPr>
          <w:color w:val="000000" w:themeColor="text1"/>
          <w:spacing w:val="2"/>
        </w:rPr>
        <w:t xml:space="preserve"> </w:t>
      </w:r>
      <w:r w:rsidR="00ED1AD2" w:rsidRPr="00ED1AD2">
        <w:rPr>
          <w:color w:val="000000" w:themeColor="text1"/>
          <w:spacing w:val="2"/>
        </w:rPr>
        <w:t>Judicial</w:t>
      </w:r>
      <w:r w:rsidRPr="00ED1AD2">
        <w:rPr>
          <w:color w:val="000000" w:themeColor="text1"/>
          <w:spacing w:val="2"/>
        </w:rPr>
        <w:t xml:space="preserve"> District in Virginia. She previously serv</w:t>
      </w:r>
      <w:r w:rsidR="00ED1AD2">
        <w:rPr>
          <w:color w:val="000000" w:themeColor="text1"/>
          <w:spacing w:val="2"/>
        </w:rPr>
        <w:t xml:space="preserve">ed as Suffolk's City Attorney and </w:t>
      </w:r>
      <w:r w:rsidRPr="00ED1AD2">
        <w:rPr>
          <w:color w:val="000000" w:themeColor="text1"/>
          <w:spacing w:val="2"/>
        </w:rPr>
        <w:t xml:space="preserve">as the </w:t>
      </w:r>
      <w:r w:rsidR="00ED1AD2">
        <w:rPr>
          <w:color w:val="000000" w:themeColor="text1"/>
          <w:spacing w:val="2"/>
        </w:rPr>
        <w:t>D</w:t>
      </w:r>
      <w:r w:rsidRPr="00ED1AD2">
        <w:rPr>
          <w:color w:val="000000" w:themeColor="text1"/>
          <w:spacing w:val="2"/>
        </w:rPr>
        <w:t xml:space="preserve">irector of the state Department of Juvenile Justice. </w:t>
      </w:r>
      <w:r w:rsidR="00ED1AD2">
        <w:rPr>
          <w:color w:val="000000" w:themeColor="text1"/>
          <w:spacing w:val="2"/>
        </w:rPr>
        <w:t>Judge</w:t>
      </w:r>
      <w:r w:rsidRPr="00ED1AD2">
        <w:rPr>
          <w:color w:val="000000" w:themeColor="text1"/>
          <w:spacing w:val="2"/>
        </w:rPr>
        <w:t xml:space="preserve"> Holland </w:t>
      </w:r>
      <w:r w:rsidR="00ED1AD2">
        <w:rPr>
          <w:color w:val="000000" w:themeColor="text1"/>
          <w:spacing w:val="2"/>
        </w:rPr>
        <w:t xml:space="preserve">also previously </w:t>
      </w:r>
      <w:r w:rsidRPr="00ED1AD2">
        <w:rPr>
          <w:color w:val="000000" w:themeColor="text1"/>
          <w:spacing w:val="2"/>
        </w:rPr>
        <w:t>worked as a deputy city attorne</w:t>
      </w:r>
      <w:r w:rsidR="00ED1AD2">
        <w:rPr>
          <w:color w:val="000000" w:themeColor="text1"/>
          <w:spacing w:val="2"/>
        </w:rPr>
        <w:t xml:space="preserve">y in Suffolk </w:t>
      </w:r>
      <w:r w:rsidR="00AE5DDA">
        <w:rPr>
          <w:color w:val="000000" w:themeColor="text1"/>
          <w:spacing w:val="2"/>
        </w:rPr>
        <w:t>and, p</w:t>
      </w:r>
      <w:r w:rsidR="00AE5DDA" w:rsidRPr="00ED1AD2">
        <w:rPr>
          <w:color w:val="000000" w:themeColor="text1"/>
          <w:spacing w:val="2"/>
        </w:rPr>
        <w:t xml:space="preserve">rior to being in the Suffolk </w:t>
      </w:r>
      <w:r w:rsidR="00AE5DDA">
        <w:rPr>
          <w:color w:val="000000" w:themeColor="text1"/>
          <w:spacing w:val="2"/>
        </w:rPr>
        <w:t>C</w:t>
      </w:r>
      <w:r w:rsidR="00AE5DDA" w:rsidRPr="00ED1AD2">
        <w:rPr>
          <w:color w:val="000000" w:themeColor="text1"/>
          <w:spacing w:val="2"/>
        </w:rPr>
        <w:t xml:space="preserve">ity </w:t>
      </w:r>
      <w:r w:rsidR="00AE5DDA">
        <w:rPr>
          <w:color w:val="000000" w:themeColor="text1"/>
          <w:spacing w:val="2"/>
        </w:rPr>
        <w:t>A</w:t>
      </w:r>
      <w:r w:rsidR="00AE5DDA" w:rsidRPr="00ED1AD2">
        <w:rPr>
          <w:color w:val="000000" w:themeColor="text1"/>
          <w:spacing w:val="2"/>
        </w:rPr>
        <w:t xml:space="preserve">ttorney’s office, was a prosecutor in the Portsmouth and Suffolk Commonwealth’s Attorney’s offices, where she prosecuted major juvenile crimes. </w:t>
      </w:r>
    </w:p>
    <w:p w14:paraId="64242C89" w14:textId="5DE14D33" w:rsidR="00D45BCA" w:rsidRPr="00ED1AD2" w:rsidRDefault="00AE5DDA" w:rsidP="00AE5DDA">
      <w:pPr>
        <w:pStyle w:val="NormalWeb"/>
        <w:shd w:val="clear" w:color="auto" w:fill="FFFFFF"/>
        <w:spacing w:before="0" w:beforeAutospacing="0" w:after="120" w:afterAutospacing="0"/>
        <w:ind w:left="720"/>
        <w:rPr>
          <w:color w:val="000000" w:themeColor="text1"/>
          <w:spacing w:val="2"/>
        </w:rPr>
      </w:pPr>
      <w:r>
        <w:rPr>
          <w:color w:val="000000" w:themeColor="text1"/>
          <w:spacing w:val="2"/>
        </w:rPr>
        <w:t>Judge Holland is a member</w:t>
      </w:r>
      <w:r w:rsidR="00D45BCA" w:rsidRPr="00ED1AD2">
        <w:rPr>
          <w:color w:val="000000" w:themeColor="text1"/>
          <w:spacing w:val="2"/>
        </w:rPr>
        <w:t xml:space="preserve"> of First Baptist Church Mahan Street and a Diamond Life Member of Delta Sigma Theta Sorority Inc. in the Suffolk Alumnae Chapter. </w:t>
      </w:r>
      <w:r w:rsidRPr="00ED1AD2">
        <w:rPr>
          <w:color w:val="000000" w:themeColor="text1"/>
          <w:spacing w:val="2"/>
        </w:rPr>
        <w:t>Ms. Holland was elected to a two-year term as Old Dominion Bar Association President May 30, 2014.</w:t>
      </w:r>
      <w:r>
        <w:rPr>
          <w:color w:val="000000" w:themeColor="text1"/>
          <w:spacing w:val="2"/>
        </w:rPr>
        <w:t xml:space="preserve"> </w:t>
      </w:r>
      <w:r w:rsidR="00D45BCA" w:rsidRPr="00ED1AD2">
        <w:rPr>
          <w:color w:val="000000" w:themeColor="text1"/>
          <w:spacing w:val="2"/>
        </w:rPr>
        <w:t>S</w:t>
      </w:r>
      <w:r>
        <w:rPr>
          <w:color w:val="000000" w:themeColor="text1"/>
          <w:spacing w:val="2"/>
        </w:rPr>
        <w:t>he is on the Virginia Judges and Lawyer’s Assistance Program’s Board of Directors and has s</w:t>
      </w:r>
      <w:r w:rsidR="00D45BCA" w:rsidRPr="00ED1AD2">
        <w:rPr>
          <w:color w:val="000000" w:themeColor="text1"/>
          <w:spacing w:val="2"/>
        </w:rPr>
        <w:t xml:space="preserve">erved on the boards of directors at the Children’s Center, Suffolk Education Foundation, Suffolk chapter of the American Red Cross and the Genieve Shelter. </w:t>
      </w:r>
      <w:r w:rsidRPr="00ED1AD2">
        <w:rPr>
          <w:color w:val="000000" w:themeColor="text1"/>
          <w:spacing w:val="2"/>
        </w:rPr>
        <w:t>For 12 years, she also served as an adjunct professor at Paul D. Camp Community College, teaching on two campuses as well as at a Virginia Department of Corrections facility.</w:t>
      </w:r>
      <w:r w:rsidR="00D45BCA" w:rsidRPr="00ED1AD2">
        <w:rPr>
          <w:color w:val="000000" w:themeColor="text1"/>
          <w:spacing w:val="2"/>
        </w:rPr>
        <w:t xml:space="preserve"> </w:t>
      </w:r>
    </w:p>
    <w:p w14:paraId="72455CDD" w14:textId="31EC7735" w:rsidR="00D45BCA" w:rsidRPr="00ED1AD2" w:rsidRDefault="00D45BCA" w:rsidP="00AE5DDA">
      <w:pPr>
        <w:spacing w:after="120"/>
        <w:rPr>
          <w:rFonts w:cs="Times New Roman"/>
          <w:color w:val="000000" w:themeColor="text1"/>
          <w:szCs w:val="24"/>
        </w:rPr>
      </w:pPr>
      <w:r w:rsidRPr="00ED1AD2">
        <w:rPr>
          <w:rFonts w:cs="Times New Roman"/>
          <w:b/>
          <w:color w:val="000000" w:themeColor="text1"/>
          <w:szCs w:val="24"/>
        </w:rPr>
        <w:t>Mike Herring</w:t>
      </w:r>
      <w:r w:rsidRPr="00ED1AD2">
        <w:rPr>
          <w:rFonts w:cs="Times New Roman"/>
          <w:color w:val="000000" w:themeColor="text1"/>
          <w:szCs w:val="24"/>
        </w:rPr>
        <w:t xml:space="preserve"> (McGuire Woods)</w:t>
      </w:r>
    </w:p>
    <w:p w14:paraId="7FD0296C" w14:textId="77777777" w:rsidR="00ED1AD2" w:rsidRPr="00ED1AD2" w:rsidRDefault="00ED1AD2" w:rsidP="00AE5DDA">
      <w:pPr>
        <w:spacing w:after="120" w:line="315" w:lineRule="atLeast"/>
        <w:ind w:left="720"/>
        <w:rPr>
          <w:rFonts w:cs="Times New Roman"/>
          <w:color w:val="000000" w:themeColor="text1"/>
          <w:szCs w:val="24"/>
        </w:rPr>
      </w:pPr>
      <w:r w:rsidRPr="00ED1AD2">
        <w:rPr>
          <w:rFonts w:cs="Times New Roman"/>
          <w:color w:val="000000" w:themeColor="text1"/>
          <w:szCs w:val="24"/>
        </w:rPr>
        <w:t>Mike is a trial lawyer with experience resolving commercial litigation, government investigations, and white-collar criminal defense matters for individuals and corporations. After serving 13 years as Richmond commonwealth’s attorney, winning re-election three times, Mike has earned the respect and admiration of the legal community in Virginia and beyond. Leveraging this experience, he serves clients in a wide array of complex commercial litigation.</w:t>
      </w:r>
      <w:r w:rsidRPr="00ED1AD2">
        <w:rPr>
          <w:rFonts w:cs="Times New Roman"/>
          <w:color w:val="000000" w:themeColor="text1"/>
          <w:szCs w:val="24"/>
          <w:shd w:val="clear" w:color="auto" w:fill="FFFFFF"/>
        </w:rPr>
        <w:t xml:space="preserve"> Herring specializes in commercial litigation, government investigations and white collar criminal defense matters with McGuire Woods.</w:t>
      </w:r>
    </w:p>
    <w:p w14:paraId="6FD21123" w14:textId="77777777" w:rsidR="00ED1AD2" w:rsidRPr="00ED1AD2" w:rsidRDefault="00ED1AD2" w:rsidP="00AE5DDA">
      <w:pPr>
        <w:spacing w:after="120" w:line="315" w:lineRule="atLeast"/>
        <w:ind w:left="720"/>
        <w:rPr>
          <w:rFonts w:cs="Times New Roman"/>
          <w:color w:val="000000" w:themeColor="text1"/>
          <w:szCs w:val="24"/>
        </w:rPr>
      </w:pPr>
      <w:r w:rsidRPr="00ED1AD2">
        <w:rPr>
          <w:rFonts w:cs="Times New Roman"/>
          <w:color w:val="000000" w:themeColor="text1"/>
          <w:szCs w:val="24"/>
        </w:rPr>
        <w:t>During his tenure as Richmond commonwealth’s attorney — the city’s top prosecutor — Mike managed an office of 40 lawyers, led high profile criminal prosecutions, and was appointed to head politically sensitive investigations involving alleged conduct of top statewide elected officials. He helped Richmond police develop strategies to reduce homicides and violent crimes dramatically and implemented groundbreaking criminal justice reforms adopted by other Virginia localities.</w:t>
      </w:r>
    </w:p>
    <w:p w14:paraId="3655F592" w14:textId="68E45EDD" w:rsidR="00ED1AD2" w:rsidRPr="00AE5DDA" w:rsidRDefault="00ED1AD2" w:rsidP="00AE5DDA">
      <w:pPr>
        <w:spacing w:after="120" w:line="315" w:lineRule="atLeast"/>
        <w:ind w:left="720"/>
        <w:rPr>
          <w:rFonts w:cs="Times New Roman"/>
          <w:color w:val="000000" w:themeColor="text1"/>
          <w:szCs w:val="24"/>
        </w:rPr>
      </w:pPr>
      <w:r w:rsidRPr="00ED1AD2">
        <w:rPr>
          <w:rFonts w:cs="Times New Roman"/>
          <w:color w:val="000000" w:themeColor="text1"/>
          <w:szCs w:val="24"/>
        </w:rPr>
        <w:t>Prior to Mike’s government service, he was a law firm partner representing clients in medical malpractice, criminal defense and personal injury matters. He is a member of the American College of Trial Lawyers.</w:t>
      </w:r>
      <w:r>
        <w:rPr>
          <w:rFonts w:cs="Times New Roman"/>
          <w:color w:val="000000" w:themeColor="text1"/>
          <w:szCs w:val="24"/>
        </w:rPr>
        <w:t xml:space="preserve"> </w:t>
      </w:r>
      <w:r w:rsidRPr="00ED1AD2">
        <w:rPr>
          <w:rFonts w:cs="Times New Roman"/>
          <w:color w:val="000000" w:themeColor="text1"/>
          <w:szCs w:val="24"/>
        </w:rPr>
        <w:t xml:space="preserve">Mike is active in community and legal organizations and frequently presents at conferences and programs devoted to improving the criminal </w:t>
      </w:r>
      <w:r w:rsidRPr="00AE5DDA">
        <w:rPr>
          <w:rFonts w:cs="Times New Roman"/>
          <w:color w:val="000000" w:themeColor="text1"/>
          <w:szCs w:val="24"/>
        </w:rPr>
        <w:t xml:space="preserve">justice system. Mike also is an adjunct faculty member at the University </w:t>
      </w:r>
      <w:proofErr w:type="gramStart"/>
      <w:r w:rsidRPr="00AE5DDA">
        <w:rPr>
          <w:rFonts w:cs="Times New Roman"/>
          <w:color w:val="000000" w:themeColor="text1"/>
          <w:szCs w:val="24"/>
        </w:rPr>
        <w:t>of Richmond School of</w:t>
      </w:r>
      <w:proofErr w:type="gramEnd"/>
      <w:r w:rsidRPr="00AE5DDA">
        <w:rPr>
          <w:rFonts w:cs="Times New Roman"/>
          <w:color w:val="000000" w:themeColor="text1"/>
          <w:szCs w:val="24"/>
        </w:rPr>
        <w:t xml:space="preserve"> Law.</w:t>
      </w:r>
    </w:p>
    <w:p w14:paraId="0F03E454" w14:textId="77777777" w:rsidR="00AE5DDA" w:rsidRPr="00AE5DDA" w:rsidRDefault="00AE5DDA" w:rsidP="00D45BCA">
      <w:pPr>
        <w:rPr>
          <w:b/>
          <w:szCs w:val="24"/>
          <w:u w:val="single"/>
        </w:rPr>
      </w:pPr>
    </w:p>
    <w:p w14:paraId="7BA57417" w14:textId="77777777" w:rsidR="009122E8" w:rsidRDefault="009122E8">
      <w:pPr>
        <w:rPr>
          <w:b/>
          <w:szCs w:val="24"/>
          <w:u w:val="single"/>
        </w:rPr>
      </w:pPr>
      <w:r>
        <w:rPr>
          <w:b/>
          <w:szCs w:val="24"/>
          <w:u w:val="single"/>
        </w:rPr>
        <w:br w:type="page"/>
      </w:r>
    </w:p>
    <w:p w14:paraId="41271475" w14:textId="693A463D" w:rsidR="00D45BCA" w:rsidRPr="00AE5DDA" w:rsidRDefault="00D45BCA" w:rsidP="00D45BCA">
      <w:pPr>
        <w:rPr>
          <w:b/>
          <w:szCs w:val="24"/>
          <w:u w:val="single"/>
        </w:rPr>
      </w:pPr>
      <w:r w:rsidRPr="00AE5DDA">
        <w:rPr>
          <w:b/>
          <w:szCs w:val="24"/>
          <w:u w:val="single"/>
        </w:rPr>
        <w:t>Agenda:</w:t>
      </w:r>
    </w:p>
    <w:p w14:paraId="58C19033" w14:textId="77777777" w:rsidR="009122E8" w:rsidRPr="00AE5DDA" w:rsidRDefault="009122E8" w:rsidP="009122E8">
      <w:pPr>
        <w:rPr>
          <w:b/>
          <w:szCs w:val="24"/>
        </w:rPr>
      </w:pPr>
      <w:r w:rsidRPr="00AE5DDA">
        <w:rPr>
          <w:b/>
          <w:szCs w:val="24"/>
        </w:rPr>
        <w:t>Status of Diversity in Need for and Use of VJLAP Services</w:t>
      </w:r>
    </w:p>
    <w:p w14:paraId="14C5DC02" w14:textId="77777777" w:rsidR="009122E8" w:rsidRDefault="009122E8" w:rsidP="009122E8">
      <w:pPr>
        <w:pStyle w:val="ListParagraph"/>
        <w:numPr>
          <w:ilvl w:val="0"/>
          <w:numId w:val="8"/>
        </w:numPr>
      </w:pPr>
      <w:r>
        <w:t>Diversity and Inclusion</w:t>
      </w:r>
    </w:p>
    <w:p w14:paraId="0595E649" w14:textId="77777777" w:rsidR="009122E8" w:rsidRDefault="009122E8" w:rsidP="009122E8">
      <w:pPr>
        <w:pStyle w:val="ListParagraph"/>
        <w:numPr>
          <w:ilvl w:val="1"/>
          <w:numId w:val="8"/>
        </w:numPr>
      </w:pPr>
      <w:r>
        <w:t>Equality v. Equity</w:t>
      </w:r>
    </w:p>
    <w:p w14:paraId="62B042C7" w14:textId="77777777" w:rsidR="009122E8" w:rsidRDefault="009122E8" w:rsidP="009122E8">
      <w:pPr>
        <w:pStyle w:val="ListParagraph"/>
        <w:numPr>
          <w:ilvl w:val="1"/>
          <w:numId w:val="8"/>
        </w:numPr>
      </w:pPr>
      <w:r>
        <w:t>Barriers to Equity, Diversity, and Inclusion Efforts</w:t>
      </w:r>
    </w:p>
    <w:p w14:paraId="1EFEB858" w14:textId="77777777" w:rsidR="009122E8" w:rsidRDefault="009122E8" w:rsidP="009122E8">
      <w:pPr>
        <w:pStyle w:val="ListParagraph"/>
        <w:numPr>
          <w:ilvl w:val="1"/>
          <w:numId w:val="8"/>
        </w:numPr>
      </w:pPr>
      <w:r>
        <w:t>Solutions to Equity/Inclusion: PRESS</w:t>
      </w:r>
    </w:p>
    <w:p w14:paraId="2CF2B899" w14:textId="77777777" w:rsidR="009122E8" w:rsidRDefault="009122E8" w:rsidP="009122E8">
      <w:pPr>
        <w:pStyle w:val="ListParagraph"/>
        <w:numPr>
          <w:ilvl w:val="0"/>
          <w:numId w:val="8"/>
        </w:numPr>
      </w:pPr>
      <w:r>
        <w:t>Mental Health Disparities Among Diverse Populations</w:t>
      </w:r>
    </w:p>
    <w:p w14:paraId="76A09AFF" w14:textId="77777777" w:rsidR="009122E8" w:rsidRDefault="009122E8" w:rsidP="009122E8">
      <w:pPr>
        <w:pStyle w:val="ListParagraph"/>
        <w:numPr>
          <w:ilvl w:val="1"/>
          <w:numId w:val="8"/>
        </w:numPr>
      </w:pPr>
      <w:r>
        <w:t>Women</w:t>
      </w:r>
    </w:p>
    <w:p w14:paraId="0A672B8A" w14:textId="77777777" w:rsidR="009122E8" w:rsidRDefault="009122E8" w:rsidP="009122E8">
      <w:pPr>
        <w:pStyle w:val="ListParagraph"/>
        <w:numPr>
          <w:ilvl w:val="1"/>
          <w:numId w:val="8"/>
        </w:numPr>
      </w:pPr>
      <w:r>
        <w:t>Racial Disparities – African Americans</w:t>
      </w:r>
    </w:p>
    <w:p w14:paraId="32FE0D33" w14:textId="77777777" w:rsidR="009122E8" w:rsidRDefault="009122E8" w:rsidP="009122E8">
      <w:pPr>
        <w:pStyle w:val="ListParagraph"/>
        <w:numPr>
          <w:ilvl w:val="1"/>
          <w:numId w:val="8"/>
        </w:numPr>
      </w:pPr>
      <w:r>
        <w:t>Racial Disparities – Asian Americans/Pacific Islanders</w:t>
      </w:r>
    </w:p>
    <w:p w14:paraId="574D1C9E" w14:textId="77777777" w:rsidR="009122E8" w:rsidRDefault="009122E8" w:rsidP="009122E8">
      <w:pPr>
        <w:pStyle w:val="ListParagraph"/>
        <w:numPr>
          <w:ilvl w:val="1"/>
          <w:numId w:val="8"/>
        </w:numPr>
      </w:pPr>
      <w:r>
        <w:t>Racial Disparities – Hispanic and Latino</w:t>
      </w:r>
    </w:p>
    <w:p w14:paraId="444FB0FD" w14:textId="77777777" w:rsidR="009122E8" w:rsidRDefault="009122E8" w:rsidP="009122E8">
      <w:pPr>
        <w:pStyle w:val="ListParagraph"/>
        <w:numPr>
          <w:ilvl w:val="1"/>
          <w:numId w:val="8"/>
        </w:numPr>
      </w:pPr>
      <w:r>
        <w:t>Racial Disparities – American Indian/Alaskan Natives</w:t>
      </w:r>
    </w:p>
    <w:p w14:paraId="4045C0B6" w14:textId="77777777" w:rsidR="009122E8" w:rsidRDefault="009122E8" w:rsidP="009122E8">
      <w:pPr>
        <w:pStyle w:val="ListParagraph"/>
        <w:numPr>
          <w:ilvl w:val="1"/>
          <w:numId w:val="8"/>
        </w:numPr>
      </w:pPr>
      <w:r>
        <w:t>LGBTQ Disparities – Gay/Lesbian Population</w:t>
      </w:r>
    </w:p>
    <w:p w14:paraId="4EFEE80C" w14:textId="77777777" w:rsidR="009122E8" w:rsidRDefault="009122E8" w:rsidP="009122E8">
      <w:pPr>
        <w:pStyle w:val="ListParagraph"/>
        <w:numPr>
          <w:ilvl w:val="1"/>
          <w:numId w:val="8"/>
        </w:numPr>
      </w:pPr>
      <w:r>
        <w:t>LGBTQ Disparities – Bisexual Population</w:t>
      </w:r>
    </w:p>
    <w:p w14:paraId="2418FDB6" w14:textId="77777777" w:rsidR="009122E8" w:rsidRDefault="009122E8" w:rsidP="009122E8">
      <w:pPr>
        <w:pStyle w:val="ListParagraph"/>
        <w:numPr>
          <w:ilvl w:val="1"/>
          <w:numId w:val="8"/>
        </w:numPr>
      </w:pPr>
      <w:r>
        <w:t>LGBTQ Disparities – Queer/Questioning Population</w:t>
      </w:r>
    </w:p>
    <w:p w14:paraId="6DC9F16D" w14:textId="77777777" w:rsidR="009122E8" w:rsidRDefault="009122E8" w:rsidP="009122E8">
      <w:pPr>
        <w:pStyle w:val="ListParagraph"/>
        <w:numPr>
          <w:ilvl w:val="1"/>
          <w:numId w:val="8"/>
        </w:numPr>
      </w:pPr>
      <w:r>
        <w:t>Other Diverse/Minority Populations (geographic/religious)</w:t>
      </w:r>
    </w:p>
    <w:p w14:paraId="773FD948" w14:textId="77777777" w:rsidR="009122E8" w:rsidRDefault="009122E8" w:rsidP="009122E8">
      <w:pPr>
        <w:pStyle w:val="ListParagraph"/>
        <w:numPr>
          <w:ilvl w:val="0"/>
          <w:numId w:val="8"/>
        </w:numPr>
      </w:pPr>
      <w:r>
        <w:t>Diversity and Well-Being in the Legal Community</w:t>
      </w:r>
    </w:p>
    <w:p w14:paraId="677F9491" w14:textId="77777777" w:rsidR="009122E8" w:rsidRDefault="009122E8" w:rsidP="009122E8">
      <w:pPr>
        <w:pStyle w:val="ListParagraph"/>
        <w:numPr>
          <w:ilvl w:val="1"/>
          <w:numId w:val="8"/>
        </w:numPr>
      </w:pPr>
      <w:r>
        <w:t>Diversity Lags Among Lawyers</w:t>
      </w:r>
    </w:p>
    <w:p w14:paraId="247370CB" w14:textId="77777777" w:rsidR="009122E8" w:rsidRDefault="009122E8" w:rsidP="009122E8">
      <w:pPr>
        <w:pStyle w:val="ListParagraph"/>
        <w:numPr>
          <w:ilvl w:val="1"/>
          <w:numId w:val="8"/>
        </w:numPr>
      </w:pPr>
      <w:r>
        <w:t>Well-Being Struggle for Attorneys</w:t>
      </w:r>
    </w:p>
    <w:p w14:paraId="7BBAE7B8" w14:textId="77777777" w:rsidR="009122E8" w:rsidRDefault="009122E8" w:rsidP="009122E8">
      <w:pPr>
        <w:pStyle w:val="ListParagraph"/>
        <w:numPr>
          <w:ilvl w:val="1"/>
          <w:numId w:val="8"/>
        </w:numPr>
      </w:pPr>
      <w:r>
        <w:t>Why Well-Being Matters</w:t>
      </w:r>
    </w:p>
    <w:p w14:paraId="4C588517" w14:textId="77777777" w:rsidR="009122E8" w:rsidRDefault="009122E8" w:rsidP="009122E8">
      <w:pPr>
        <w:pStyle w:val="ListParagraph"/>
        <w:numPr>
          <w:ilvl w:val="1"/>
          <w:numId w:val="8"/>
        </w:numPr>
      </w:pPr>
      <w:r>
        <w:t>Why Diversity Matters</w:t>
      </w:r>
    </w:p>
    <w:p w14:paraId="7AF697F2" w14:textId="77777777" w:rsidR="009122E8" w:rsidRDefault="009122E8" w:rsidP="009122E8">
      <w:pPr>
        <w:pStyle w:val="ListParagraph"/>
        <w:numPr>
          <w:ilvl w:val="0"/>
          <w:numId w:val="8"/>
        </w:numPr>
      </w:pPr>
      <w:r>
        <w:t>Recommendations</w:t>
      </w:r>
    </w:p>
    <w:p w14:paraId="613021E3" w14:textId="77777777" w:rsidR="009122E8" w:rsidRDefault="009122E8" w:rsidP="009122E8">
      <w:pPr>
        <w:pStyle w:val="ListParagraph"/>
        <w:numPr>
          <w:ilvl w:val="1"/>
          <w:numId w:val="8"/>
        </w:numPr>
      </w:pPr>
      <w:r>
        <w:t>Acknowledgement</w:t>
      </w:r>
    </w:p>
    <w:p w14:paraId="0E90EECA" w14:textId="77777777" w:rsidR="009122E8" w:rsidRDefault="009122E8" w:rsidP="009122E8">
      <w:pPr>
        <w:pStyle w:val="ListParagraph"/>
        <w:numPr>
          <w:ilvl w:val="1"/>
          <w:numId w:val="8"/>
        </w:numPr>
      </w:pPr>
      <w:r>
        <w:t>Leadership</w:t>
      </w:r>
    </w:p>
    <w:p w14:paraId="69256F62" w14:textId="77777777" w:rsidR="009122E8" w:rsidRDefault="009122E8" w:rsidP="009122E8">
      <w:pPr>
        <w:pStyle w:val="ListParagraph"/>
        <w:numPr>
          <w:ilvl w:val="1"/>
          <w:numId w:val="8"/>
        </w:numPr>
      </w:pPr>
      <w:r>
        <w:t>Encouragement</w:t>
      </w:r>
    </w:p>
    <w:p w14:paraId="5C2EDEB0" w14:textId="77777777" w:rsidR="009122E8" w:rsidRDefault="009122E8" w:rsidP="009122E8">
      <w:pPr>
        <w:pStyle w:val="ListParagraph"/>
        <w:numPr>
          <w:ilvl w:val="1"/>
          <w:numId w:val="8"/>
        </w:numPr>
      </w:pPr>
      <w:r>
        <w:t>Relationship-Building</w:t>
      </w:r>
    </w:p>
    <w:p w14:paraId="0D21E8D9" w14:textId="77777777" w:rsidR="009122E8" w:rsidRDefault="009122E8" w:rsidP="009122E8">
      <w:pPr>
        <w:pStyle w:val="ListParagraph"/>
        <w:numPr>
          <w:ilvl w:val="1"/>
          <w:numId w:val="8"/>
        </w:numPr>
      </w:pPr>
      <w:r>
        <w:t>Professionalism</w:t>
      </w:r>
    </w:p>
    <w:p w14:paraId="68EE7750" w14:textId="77777777" w:rsidR="009122E8" w:rsidRDefault="009122E8" w:rsidP="009122E8">
      <w:pPr>
        <w:pStyle w:val="ListParagraph"/>
        <w:numPr>
          <w:ilvl w:val="1"/>
          <w:numId w:val="8"/>
        </w:numPr>
      </w:pPr>
      <w:r>
        <w:t>Diversity and Inclusion Initiatives</w:t>
      </w:r>
    </w:p>
    <w:p w14:paraId="1F6437E4" w14:textId="77777777" w:rsidR="009122E8" w:rsidRDefault="009122E8" w:rsidP="009122E8">
      <w:pPr>
        <w:pStyle w:val="ListParagraph"/>
        <w:numPr>
          <w:ilvl w:val="1"/>
          <w:numId w:val="8"/>
        </w:numPr>
      </w:pPr>
      <w:r>
        <w:t>Mentorship</w:t>
      </w:r>
    </w:p>
    <w:p w14:paraId="62C0FB05" w14:textId="77777777" w:rsidR="009122E8" w:rsidRDefault="009122E8" w:rsidP="009122E8">
      <w:pPr>
        <w:pStyle w:val="ListParagraph"/>
        <w:numPr>
          <w:ilvl w:val="1"/>
          <w:numId w:val="8"/>
        </w:numPr>
      </w:pPr>
      <w:r>
        <w:t>Lawyer Sense of Control</w:t>
      </w:r>
    </w:p>
    <w:p w14:paraId="206ADCD0" w14:textId="77777777" w:rsidR="009122E8" w:rsidRDefault="009122E8" w:rsidP="009122E8">
      <w:pPr>
        <w:pStyle w:val="ListParagraph"/>
        <w:numPr>
          <w:ilvl w:val="1"/>
          <w:numId w:val="8"/>
        </w:numPr>
      </w:pPr>
      <w:r>
        <w:t>Education</w:t>
      </w:r>
    </w:p>
    <w:p w14:paraId="3EA5E3EA" w14:textId="77777777" w:rsidR="009122E8" w:rsidRDefault="009122E8" w:rsidP="009122E8">
      <w:pPr>
        <w:pStyle w:val="ListParagraph"/>
        <w:numPr>
          <w:ilvl w:val="1"/>
          <w:numId w:val="8"/>
        </w:numPr>
      </w:pPr>
      <w:r>
        <w:t>Support Lawyer Transition</w:t>
      </w:r>
    </w:p>
    <w:p w14:paraId="7D25655D" w14:textId="77777777" w:rsidR="009122E8" w:rsidRDefault="009122E8" w:rsidP="009122E8">
      <w:pPr>
        <w:pStyle w:val="ListParagraph"/>
        <w:numPr>
          <w:ilvl w:val="1"/>
          <w:numId w:val="8"/>
        </w:numPr>
      </w:pPr>
      <w:r>
        <w:t>Deemphasize Alcohol</w:t>
      </w:r>
    </w:p>
    <w:p w14:paraId="1EAEAD6E" w14:textId="77777777" w:rsidR="009122E8" w:rsidRDefault="009122E8" w:rsidP="009122E8">
      <w:pPr>
        <w:pStyle w:val="ListParagraph"/>
        <w:numPr>
          <w:ilvl w:val="1"/>
          <w:numId w:val="8"/>
        </w:numPr>
      </w:pPr>
      <w:r>
        <w:t xml:space="preserve">Support Wellness </w:t>
      </w:r>
    </w:p>
    <w:p w14:paraId="2E400631" w14:textId="77777777" w:rsidR="009122E8" w:rsidRDefault="009122E8" w:rsidP="009122E8">
      <w:pPr>
        <w:pStyle w:val="ListParagraph"/>
        <w:numPr>
          <w:ilvl w:val="1"/>
          <w:numId w:val="8"/>
        </w:numPr>
      </w:pPr>
      <w:r>
        <w:t>Measure Progress</w:t>
      </w:r>
    </w:p>
    <w:p w14:paraId="7C3B13DA" w14:textId="77777777" w:rsidR="00D45BCA" w:rsidRPr="00AE5DDA" w:rsidRDefault="00D45BCA" w:rsidP="00D45BCA">
      <w:pPr>
        <w:rPr>
          <w:szCs w:val="24"/>
        </w:rPr>
      </w:pPr>
    </w:p>
    <w:p w14:paraId="4011FE39" w14:textId="77777777" w:rsidR="00D45BCA" w:rsidRDefault="00D45BCA" w:rsidP="00D727D1">
      <w:pPr>
        <w:jc w:val="center"/>
        <w:rPr>
          <w:sz w:val="28"/>
          <w:szCs w:val="28"/>
        </w:rPr>
      </w:pPr>
    </w:p>
    <w:p w14:paraId="79BAB5E1" w14:textId="77777777" w:rsidR="00AE5DDA" w:rsidRDefault="00AE5DDA">
      <w:pPr>
        <w:rPr>
          <w:rFonts w:cs="Times New Roman"/>
          <w:szCs w:val="24"/>
        </w:rPr>
      </w:pPr>
      <w:r>
        <w:rPr>
          <w:rFonts w:cs="Times New Roman"/>
          <w:szCs w:val="24"/>
        </w:rPr>
        <w:br w:type="page"/>
      </w:r>
    </w:p>
    <w:p w14:paraId="5562C2B8" w14:textId="77777777" w:rsidR="001774BD" w:rsidRPr="00AE5DDA" w:rsidRDefault="001774BD" w:rsidP="001774BD">
      <w:pPr>
        <w:jc w:val="center"/>
        <w:rPr>
          <w:b/>
          <w:szCs w:val="24"/>
        </w:rPr>
      </w:pPr>
      <w:r w:rsidRPr="00AE5DDA">
        <w:rPr>
          <w:b/>
          <w:szCs w:val="24"/>
        </w:rPr>
        <w:t>Status of Diversity in Need for and Use of VJLAP Services</w:t>
      </w:r>
    </w:p>
    <w:p w14:paraId="0AE06790" w14:textId="5DF1A54D" w:rsidR="00AE5DDA" w:rsidRPr="00AE5DDA" w:rsidRDefault="00D727D1" w:rsidP="00AE5DDA">
      <w:pPr>
        <w:pBdr>
          <w:bottom w:val="single" w:sz="4" w:space="1" w:color="auto"/>
        </w:pBdr>
        <w:jc w:val="center"/>
        <w:rPr>
          <w:rFonts w:cs="Times New Roman"/>
          <w:szCs w:val="24"/>
        </w:rPr>
      </w:pPr>
      <w:r w:rsidRPr="00AE5DDA">
        <w:rPr>
          <w:rFonts w:cs="Times New Roman"/>
          <w:szCs w:val="24"/>
        </w:rPr>
        <w:t>Written Materials</w:t>
      </w:r>
    </w:p>
    <w:p w14:paraId="1A5F5856" w14:textId="5BD85691" w:rsidR="00AE5DDA" w:rsidRPr="009122E8" w:rsidRDefault="00D727D1" w:rsidP="00AE5DDA">
      <w:pPr>
        <w:pStyle w:val="ListParagraph"/>
        <w:numPr>
          <w:ilvl w:val="0"/>
          <w:numId w:val="1"/>
        </w:numPr>
        <w:rPr>
          <w:rFonts w:cs="Times New Roman"/>
          <w:b/>
          <w:szCs w:val="24"/>
        </w:rPr>
      </w:pPr>
      <w:r w:rsidRPr="00AE5DDA">
        <w:rPr>
          <w:rFonts w:cs="Times New Roman"/>
          <w:b/>
          <w:szCs w:val="24"/>
        </w:rPr>
        <w:t>Diversity &amp; Inclusion</w:t>
      </w:r>
      <w:r w:rsidR="000D44F7" w:rsidRPr="00AE5DDA">
        <w:rPr>
          <w:rFonts w:cs="Times New Roman"/>
          <w:b/>
          <w:szCs w:val="24"/>
        </w:rPr>
        <w:t xml:space="preserve"> </w:t>
      </w:r>
    </w:p>
    <w:p w14:paraId="4A02D4AB" w14:textId="2C72C095" w:rsidR="00D727D1" w:rsidRPr="00AE5DDA" w:rsidRDefault="00253C3C" w:rsidP="00253C3C">
      <w:pPr>
        <w:pStyle w:val="ListParagraph"/>
        <w:numPr>
          <w:ilvl w:val="1"/>
          <w:numId w:val="1"/>
        </w:numPr>
        <w:rPr>
          <w:rFonts w:cs="Times New Roman"/>
          <w:szCs w:val="24"/>
        </w:rPr>
      </w:pPr>
      <w:r w:rsidRPr="00AE5DDA">
        <w:rPr>
          <w:rFonts w:cs="Times New Roman"/>
          <w:szCs w:val="24"/>
        </w:rPr>
        <w:t>Equality vs. Equity</w:t>
      </w:r>
      <w:r w:rsidR="0059176D" w:rsidRPr="00AE5DDA">
        <w:rPr>
          <w:rStyle w:val="FootnoteReference"/>
          <w:rFonts w:cs="Times New Roman"/>
          <w:szCs w:val="24"/>
        </w:rPr>
        <w:footnoteReference w:id="1"/>
      </w:r>
      <w:r w:rsidR="002B1913" w:rsidRPr="00AE5DDA">
        <w:rPr>
          <w:rFonts w:cs="Times New Roman"/>
          <w:szCs w:val="24"/>
        </w:rPr>
        <w:t xml:space="preserve"> </w:t>
      </w:r>
      <w:r w:rsidR="00EB2AAF" w:rsidRPr="00AE5DDA">
        <w:rPr>
          <w:rFonts w:cs="Times New Roman"/>
          <w:szCs w:val="24"/>
        </w:rPr>
        <w:t>–</w:t>
      </w:r>
      <w:r w:rsidR="002B1913" w:rsidRPr="00AE5DDA">
        <w:rPr>
          <w:rFonts w:cs="Times New Roman"/>
          <w:szCs w:val="24"/>
        </w:rPr>
        <w:t xml:space="preserve"> </w:t>
      </w:r>
    </w:p>
    <w:p w14:paraId="2E0D70BB" w14:textId="7CB0CC3B" w:rsidR="00EB2AAF" w:rsidRPr="00AE5DDA" w:rsidRDefault="00EB2AAF" w:rsidP="00EB2AAF">
      <w:pPr>
        <w:pStyle w:val="ListParagraph"/>
        <w:numPr>
          <w:ilvl w:val="2"/>
          <w:numId w:val="1"/>
        </w:numPr>
        <w:rPr>
          <w:rFonts w:cs="Times New Roman"/>
          <w:szCs w:val="24"/>
        </w:rPr>
      </w:pPr>
      <w:r w:rsidRPr="00AE5DDA">
        <w:rPr>
          <w:rFonts w:cs="Times New Roman"/>
          <w:szCs w:val="24"/>
        </w:rPr>
        <w:t>Equality is giving everyone a house to live in</w:t>
      </w:r>
    </w:p>
    <w:p w14:paraId="2597DFEF" w14:textId="5F3106D3" w:rsidR="00EB2AAF" w:rsidRPr="00AE5DDA" w:rsidRDefault="00EB2AAF" w:rsidP="00EB2AAF">
      <w:pPr>
        <w:pStyle w:val="ListParagraph"/>
        <w:numPr>
          <w:ilvl w:val="2"/>
          <w:numId w:val="1"/>
        </w:numPr>
        <w:rPr>
          <w:rFonts w:cs="Times New Roman"/>
          <w:szCs w:val="24"/>
        </w:rPr>
      </w:pPr>
      <w:r w:rsidRPr="00AE5DDA">
        <w:rPr>
          <w:rFonts w:cs="Times New Roman"/>
          <w:szCs w:val="24"/>
        </w:rPr>
        <w:t>Equity is giving people in the tropics housing that provides good ventilation, windows with screens to keep mosquitoes out and sufficient shade from the heat; and giving people in artic climates a house with good insulation and a good heat source</w:t>
      </w:r>
    </w:p>
    <w:p w14:paraId="7874CF47" w14:textId="783ED923" w:rsidR="00253C3C" w:rsidRPr="00AE5DDA" w:rsidRDefault="00253C3C" w:rsidP="00253C3C">
      <w:pPr>
        <w:pStyle w:val="ListParagraph"/>
        <w:numPr>
          <w:ilvl w:val="1"/>
          <w:numId w:val="1"/>
        </w:numPr>
        <w:rPr>
          <w:rFonts w:cs="Times New Roman"/>
          <w:szCs w:val="24"/>
        </w:rPr>
      </w:pPr>
      <w:r w:rsidRPr="00AE5DDA">
        <w:rPr>
          <w:rFonts w:cs="Times New Roman"/>
          <w:szCs w:val="24"/>
        </w:rPr>
        <w:t xml:space="preserve">Barriers to </w:t>
      </w:r>
      <w:r w:rsidR="00EB2AAF" w:rsidRPr="00AE5DDA">
        <w:rPr>
          <w:rFonts w:cs="Times New Roman"/>
          <w:szCs w:val="24"/>
        </w:rPr>
        <w:t>Equity, Diversity and Inclusion (EDI) efforts</w:t>
      </w:r>
      <w:r w:rsidR="0059176D" w:rsidRPr="00AE5DDA">
        <w:rPr>
          <w:rStyle w:val="FootnoteReference"/>
          <w:rFonts w:cs="Times New Roman"/>
          <w:szCs w:val="24"/>
        </w:rPr>
        <w:footnoteReference w:id="2"/>
      </w:r>
    </w:p>
    <w:p w14:paraId="29637224" w14:textId="5C7F5340" w:rsidR="00253C3C" w:rsidRPr="00AE5DDA" w:rsidRDefault="000D44F7" w:rsidP="000D44F7">
      <w:pPr>
        <w:pStyle w:val="ListParagraph"/>
        <w:numPr>
          <w:ilvl w:val="2"/>
          <w:numId w:val="1"/>
        </w:numPr>
        <w:rPr>
          <w:rFonts w:cs="Times New Roman"/>
          <w:szCs w:val="24"/>
        </w:rPr>
      </w:pPr>
      <w:r w:rsidRPr="00AE5DDA">
        <w:rPr>
          <w:rFonts w:cs="Times New Roman"/>
          <w:szCs w:val="24"/>
        </w:rPr>
        <w:t>Lack of Budget</w:t>
      </w:r>
      <w:r w:rsidR="00EB2AAF" w:rsidRPr="00AE5DDA">
        <w:rPr>
          <w:rFonts w:cs="Times New Roman"/>
          <w:szCs w:val="24"/>
        </w:rPr>
        <w:t xml:space="preserve"> – can be difficult to prove return on investment (ROI) for EDI investments, must consider all the potential benefits to an organization to accurately calculate ROI</w:t>
      </w:r>
    </w:p>
    <w:p w14:paraId="1872272D" w14:textId="3C171DA9" w:rsidR="000D44F7" w:rsidRPr="00AE5DDA" w:rsidRDefault="000D44F7" w:rsidP="000D44F7">
      <w:pPr>
        <w:pStyle w:val="ListParagraph"/>
        <w:numPr>
          <w:ilvl w:val="2"/>
          <w:numId w:val="1"/>
        </w:numPr>
        <w:rPr>
          <w:rFonts w:cs="Times New Roman"/>
          <w:szCs w:val="24"/>
        </w:rPr>
      </w:pPr>
      <w:r w:rsidRPr="00AE5DDA">
        <w:rPr>
          <w:rFonts w:cs="Times New Roman"/>
          <w:szCs w:val="24"/>
        </w:rPr>
        <w:t>Lack of Support</w:t>
      </w:r>
      <w:r w:rsidR="00EB2AAF" w:rsidRPr="00AE5DDA">
        <w:rPr>
          <w:rFonts w:cs="Times New Roman"/>
          <w:szCs w:val="24"/>
        </w:rPr>
        <w:t xml:space="preserve"> – initiatives often met with skepticism, which requires education of all the potential benefits of EDI (ROI and otherwise set forth in full detail below</w:t>
      </w:r>
    </w:p>
    <w:p w14:paraId="43D31678" w14:textId="030F9FE0" w:rsidR="000D44F7" w:rsidRPr="00AE5DDA" w:rsidRDefault="000D44F7" w:rsidP="000D44F7">
      <w:pPr>
        <w:pStyle w:val="ListParagraph"/>
        <w:numPr>
          <w:ilvl w:val="2"/>
          <w:numId w:val="1"/>
        </w:numPr>
        <w:rPr>
          <w:rFonts w:cs="Times New Roman"/>
          <w:szCs w:val="24"/>
        </w:rPr>
      </w:pPr>
      <w:r w:rsidRPr="00AE5DDA">
        <w:rPr>
          <w:rFonts w:cs="Times New Roman"/>
          <w:szCs w:val="24"/>
        </w:rPr>
        <w:t>Lack of tools</w:t>
      </w:r>
      <w:r w:rsidR="00EB2AAF" w:rsidRPr="00AE5DDA">
        <w:rPr>
          <w:rFonts w:cs="Times New Roman"/>
          <w:szCs w:val="24"/>
        </w:rPr>
        <w:t xml:space="preserve"> </w:t>
      </w:r>
      <w:r w:rsidR="00E015D5" w:rsidRPr="00AE5DDA">
        <w:rPr>
          <w:rFonts w:cs="Times New Roman"/>
          <w:szCs w:val="24"/>
        </w:rPr>
        <w:t>–</w:t>
      </w:r>
      <w:r w:rsidR="00EB2AAF" w:rsidRPr="00AE5DDA">
        <w:rPr>
          <w:rFonts w:cs="Times New Roman"/>
          <w:szCs w:val="24"/>
        </w:rPr>
        <w:t xml:space="preserve"> </w:t>
      </w:r>
      <w:r w:rsidR="00E015D5" w:rsidRPr="00AE5DDA">
        <w:rPr>
          <w:rFonts w:cs="Times New Roman"/>
          <w:szCs w:val="24"/>
        </w:rPr>
        <w:t xml:space="preserve">need the tools to measure and track EDI investments, education and support can depend on accurate measurements of progress </w:t>
      </w:r>
    </w:p>
    <w:p w14:paraId="7A6D8614" w14:textId="2521E000" w:rsidR="000D44F7" w:rsidRPr="00AE5DDA" w:rsidRDefault="000D44F7" w:rsidP="000D44F7">
      <w:pPr>
        <w:pStyle w:val="ListParagraph"/>
        <w:numPr>
          <w:ilvl w:val="1"/>
          <w:numId w:val="1"/>
        </w:numPr>
        <w:rPr>
          <w:rFonts w:cs="Times New Roman"/>
          <w:szCs w:val="24"/>
        </w:rPr>
      </w:pPr>
      <w:r w:rsidRPr="00AE5DDA">
        <w:rPr>
          <w:rFonts w:cs="Times New Roman"/>
          <w:szCs w:val="24"/>
        </w:rPr>
        <w:t>Solutions to Equity / Inclusion: PRESS</w:t>
      </w:r>
      <w:r w:rsidR="00AA3C10" w:rsidRPr="00AE5DDA">
        <w:rPr>
          <w:rStyle w:val="FootnoteReference"/>
          <w:rFonts w:cs="Times New Roman"/>
          <w:szCs w:val="24"/>
        </w:rPr>
        <w:footnoteReference w:id="3"/>
      </w:r>
    </w:p>
    <w:p w14:paraId="761F2844" w14:textId="78BDA4FE" w:rsidR="00E015D5" w:rsidRPr="00AE5DDA" w:rsidRDefault="000D44F7" w:rsidP="000D44F7">
      <w:pPr>
        <w:pStyle w:val="ListParagraph"/>
        <w:numPr>
          <w:ilvl w:val="2"/>
          <w:numId w:val="1"/>
        </w:numPr>
        <w:rPr>
          <w:rFonts w:cs="Times New Roman"/>
          <w:szCs w:val="24"/>
        </w:rPr>
      </w:pPr>
      <w:r w:rsidRPr="00AE5DDA">
        <w:rPr>
          <w:rFonts w:cs="Times New Roman"/>
          <w:szCs w:val="24"/>
        </w:rPr>
        <w:t>P</w:t>
      </w:r>
      <w:r w:rsidR="00E015D5" w:rsidRPr="00AE5DDA">
        <w:rPr>
          <w:rFonts w:cs="Times New Roman"/>
          <w:szCs w:val="24"/>
        </w:rPr>
        <w:t xml:space="preserve">roblem Awareness – </w:t>
      </w:r>
    </w:p>
    <w:p w14:paraId="1D74FFFC" w14:textId="1E6F8C20" w:rsidR="000D44F7" w:rsidRPr="00AE5DDA" w:rsidRDefault="00E015D5" w:rsidP="00E015D5">
      <w:pPr>
        <w:pStyle w:val="ListParagraph"/>
        <w:numPr>
          <w:ilvl w:val="3"/>
          <w:numId w:val="1"/>
        </w:numPr>
        <w:rPr>
          <w:rFonts w:cs="Times New Roman"/>
          <w:szCs w:val="24"/>
        </w:rPr>
      </w:pPr>
      <w:r w:rsidRPr="00AE5DDA">
        <w:rPr>
          <w:rFonts w:cs="Times New Roman"/>
          <w:szCs w:val="24"/>
        </w:rPr>
        <w:t>Research reveals that many white people do not see that racism continues to oppress people of color.  57% of Whites and 66% of working whites believe that there is more racism against them than against Blacks</w:t>
      </w:r>
    </w:p>
    <w:p w14:paraId="6B162209" w14:textId="4CDA1B33" w:rsidR="00E015D5" w:rsidRPr="009122E8" w:rsidRDefault="00E015D5" w:rsidP="009122E8">
      <w:pPr>
        <w:pStyle w:val="ListParagraph"/>
        <w:numPr>
          <w:ilvl w:val="3"/>
          <w:numId w:val="1"/>
        </w:numPr>
        <w:rPr>
          <w:rFonts w:cs="Times New Roman"/>
          <w:szCs w:val="24"/>
        </w:rPr>
      </w:pPr>
      <w:r w:rsidRPr="00AE5DDA">
        <w:rPr>
          <w:rFonts w:cs="Times New Roman"/>
          <w:szCs w:val="24"/>
        </w:rPr>
        <w:t>Assumption is that racism is deliberate action motivated by malice and hatred</w:t>
      </w:r>
    </w:p>
    <w:p w14:paraId="263F2035" w14:textId="53FBE39F" w:rsidR="000D44F7" w:rsidRPr="00AE5DDA" w:rsidRDefault="000D44F7" w:rsidP="000D44F7">
      <w:pPr>
        <w:pStyle w:val="ListParagraph"/>
        <w:numPr>
          <w:ilvl w:val="2"/>
          <w:numId w:val="1"/>
        </w:numPr>
        <w:rPr>
          <w:rFonts w:cs="Times New Roman"/>
          <w:szCs w:val="24"/>
        </w:rPr>
      </w:pPr>
      <w:r w:rsidRPr="00AE5DDA">
        <w:rPr>
          <w:rFonts w:cs="Times New Roman"/>
          <w:szCs w:val="24"/>
        </w:rPr>
        <w:t>R</w:t>
      </w:r>
      <w:r w:rsidR="00E015D5" w:rsidRPr="00AE5DDA">
        <w:rPr>
          <w:rFonts w:cs="Times New Roman"/>
          <w:szCs w:val="24"/>
        </w:rPr>
        <w:t xml:space="preserve">oot-Cause Analysis – </w:t>
      </w:r>
    </w:p>
    <w:p w14:paraId="7ACAE88D" w14:textId="7823EE49" w:rsidR="00E015D5" w:rsidRPr="00AE5DDA" w:rsidRDefault="00E015D5" w:rsidP="00E015D5">
      <w:pPr>
        <w:pStyle w:val="ListParagraph"/>
        <w:numPr>
          <w:ilvl w:val="3"/>
          <w:numId w:val="1"/>
        </w:numPr>
        <w:rPr>
          <w:rFonts w:cs="Times New Roman"/>
          <w:szCs w:val="24"/>
        </w:rPr>
      </w:pPr>
      <w:r w:rsidRPr="00AE5DDA">
        <w:rPr>
          <w:rFonts w:cs="Times New Roman"/>
          <w:szCs w:val="24"/>
        </w:rPr>
        <w:t>Racism can have many psychological sources</w:t>
      </w:r>
    </w:p>
    <w:p w14:paraId="15796B72" w14:textId="53E273A1" w:rsidR="00E015D5" w:rsidRPr="00AE5DDA" w:rsidRDefault="00E613C1" w:rsidP="00E015D5">
      <w:pPr>
        <w:pStyle w:val="ListParagraph"/>
        <w:numPr>
          <w:ilvl w:val="3"/>
          <w:numId w:val="1"/>
        </w:numPr>
        <w:rPr>
          <w:rFonts w:cs="Times New Roman"/>
          <w:szCs w:val="24"/>
        </w:rPr>
      </w:pPr>
      <w:r w:rsidRPr="00AE5DDA">
        <w:rPr>
          <w:rFonts w:cs="Times New Roman"/>
          <w:szCs w:val="24"/>
        </w:rPr>
        <w:lastRenderedPageBreak/>
        <w:t>Most is the result of structural factors – laws, institutional practices and norms</w:t>
      </w:r>
    </w:p>
    <w:p w14:paraId="317AD7CF" w14:textId="49AD7DD9" w:rsidR="00E613C1" w:rsidRPr="00AE5DDA" w:rsidRDefault="00E613C1" w:rsidP="00E015D5">
      <w:pPr>
        <w:pStyle w:val="ListParagraph"/>
        <w:numPr>
          <w:ilvl w:val="3"/>
          <w:numId w:val="1"/>
        </w:numPr>
        <w:rPr>
          <w:rFonts w:cs="Times New Roman"/>
          <w:szCs w:val="24"/>
        </w:rPr>
      </w:pPr>
      <w:r w:rsidRPr="00AE5DDA">
        <w:rPr>
          <w:rFonts w:cs="Times New Roman"/>
          <w:szCs w:val="24"/>
        </w:rPr>
        <w:t>Many do not involve intent</w:t>
      </w:r>
    </w:p>
    <w:p w14:paraId="1FC1DB4E" w14:textId="1B90BA3A" w:rsidR="00E613C1" w:rsidRPr="00AE5DDA" w:rsidRDefault="00E613C1" w:rsidP="00E613C1">
      <w:pPr>
        <w:pStyle w:val="ListParagraph"/>
        <w:numPr>
          <w:ilvl w:val="2"/>
          <w:numId w:val="1"/>
        </w:numPr>
        <w:rPr>
          <w:rFonts w:cs="Times New Roman"/>
          <w:szCs w:val="24"/>
        </w:rPr>
      </w:pPr>
      <w:r w:rsidRPr="00AE5DDA">
        <w:rPr>
          <w:rFonts w:cs="Times New Roman"/>
          <w:szCs w:val="24"/>
        </w:rPr>
        <w:t>Empathy –</w:t>
      </w:r>
    </w:p>
    <w:p w14:paraId="4E1E0C3A" w14:textId="0BE971D9" w:rsidR="00E613C1" w:rsidRPr="00AE5DDA" w:rsidRDefault="00E613C1" w:rsidP="00E613C1">
      <w:pPr>
        <w:pStyle w:val="ListParagraph"/>
        <w:numPr>
          <w:ilvl w:val="3"/>
          <w:numId w:val="1"/>
        </w:numPr>
        <w:rPr>
          <w:rFonts w:cs="Times New Roman"/>
          <w:szCs w:val="24"/>
        </w:rPr>
      </w:pPr>
      <w:r w:rsidRPr="00AE5DDA">
        <w:rPr>
          <w:rFonts w:cs="Times New Roman"/>
          <w:szCs w:val="24"/>
        </w:rPr>
        <w:t>Once people are aware of problem and its root cause question is whether they care enough to do something about it.</w:t>
      </w:r>
    </w:p>
    <w:p w14:paraId="5FC04DCF" w14:textId="73AE8CC4" w:rsidR="00E613C1" w:rsidRPr="00AE5DDA" w:rsidRDefault="00E613C1" w:rsidP="00E613C1">
      <w:pPr>
        <w:pStyle w:val="ListParagraph"/>
        <w:numPr>
          <w:ilvl w:val="3"/>
          <w:numId w:val="1"/>
        </w:numPr>
        <w:rPr>
          <w:rFonts w:cs="Times New Roman"/>
          <w:szCs w:val="24"/>
        </w:rPr>
      </w:pPr>
      <w:r w:rsidRPr="00AE5DDA">
        <w:rPr>
          <w:rFonts w:cs="Times New Roman"/>
          <w:szCs w:val="24"/>
        </w:rPr>
        <w:t>Many experience sympathy, or pity, when they witness racism, but</w:t>
      </w:r>
    </w:p>
    <w:p w14:paraId="15C15B6A" w14:textId="0A5B1F50" w:rsidR="00E613C1" w:rsidRPr="00AE5DDA" w:rsidRDefault="00E613C1" w:rsidP="00E613C1">
      <w:pPr>
        <w:pStyle w:val="ListParagraph"/>
        <w:numPr>
          <w:ilvl w:val="3"/>
          <w:numId w:val="1"/>
        </w:numPr>
        <w:rPr>
          <w:rFonts w:cs="Times New Roman"/>
          <w:szCs w:val="24"/>
        </w:rPr>
      </w:pPr>
      <w:r w:rsidRPr="00AE5DDA">
        <w:rPr>
          <w:rFonts w:cs="Times New Roman"/>
          <w:szCs w:val="24"/>
        </w:rPr>
        <w:t>Empathy is experiencing the same hurt and anger that people of color feel</w:t>
      </w:r>
    </w:p>
    <w:p w14:paraId="64CCE6F3" w14:textId="1CB20247" w:rsidR="00E613C1" w:rsidRPr="00AE5DDA" w:rsidRDefault="00E613C1" w:rsidP="00E613C1">
      <w:pPr>
        <w:pStyle w:val="ListParagraph"/>
        <w:numPr>
          <w:ilvl w:val="3"/>
          <w:numId w:val="1"/>
        </w:numPr>
        <w:rPr>
          <w:rFonts w:cs="Times New Roman"/>
          <w:szCs w:val="24"/>
        </w:rPr>
      </w:pPr>
      <w:r w:rsidRPr="00AE5DDA">
        <w:rPr>
          <w:rFonts w:cs="Times New Roman"/>
          <w:szCs w:val="24"/>
        </w:rPr>
        <w:t>Empathy provides solidarity and social justice while sympathy quiets the symptoms while perpetuating the disease</w:t>
      </w:r>
    </w:p>
    <w:p w14:paraId="16F8D241" w14:textId="2F74212B" w:rsidR="000D44F7" w:rsidRPr="00AE5DDA" w:rsidRDefault="000D44F7" w:rsidP="000D44F7">
      <w:pPr>
        <w:pStyle w:val="ListParagraph"/>
        <w:numPr>
          <w:ilvl w:val="2"/>
          <w:numId w:val="1"/>
        </w:numPr>
        <w:rPr>
          <w:rFonts w:cs="Times New Roman"/>
          <w:szCs w:val="24"/>
        </w:rPr>
      </w:pPr>
      <w:r w:rsidRPr="00AE5DDA">
        <w:rPr>
          <w:rFonts w:cs="Times New Roman"/>
          <w:szCs w:val="24"/>
        </w:rPr>
        <w:t>S</w:t>
      </w:r>
      <w:r w:rsidR="00E613C1" w:rsidRPr="00AE5DDA">
        <w:rPr>
          <w:rFonts w:cs="Times New Roman"/>
          <w:szCs w:val="24"/>
        </w:rPr>
        <w:t>trategy – Once the foundation has been laid, then what to do about it</w:t>
      </w:r>
    </w:p>
    <w:p w14:paraId="57EADD27" w14:textId="6FFEA230" w:rsidR="00E613C1" w:rsidRPr="00AE5DDA" w:rsidRDefault="00E613C1" w:rsidP="00E613C1">
      <w:pPr>
        <w:pStyle w:val="ListParagraph"/>
        <w:numPr>
          <w:ilvl w:val="3"/>
          <w:numId w:val="1"/>
        </w:numPr>
        <w:rPr>
          <w:rFonts w:cs="Times New Roman"/>
          <w:szCs w:val="24"/>
        </w:rPr>
      </w:pPr>
      <w:r w:rsidRPr="00AE5DDA">
        <w:rPr>
          <w:rFonts w:cs="Times New Roman"/>
          <w:szCs w:val="24"/>
        </w:rPr>
        <w:t>Need to change personal attitudes, informal cultural norms and institutional policies.</w:t>
      </w:r>
    </w:p>
    <w:p w14:paraId="1529441E" w14:textId="301CB224" w:rsidR="00E613C1" w:rsidRPr="00AE5DDA" w:rsidRDefault="00E613C1" w:rsidP="00E613C1">
      <w:pPr>
        <w:pStyle w:val="ListParagraph"/>
        <w:numPr>
          <w:ilvl w:val="3"/>
          <w:numId w:val="1"/>
        </w:numPr>
        <w:rPr>
          <w:rFonts w:cs="Times New Roman"/>
          <w:szCs w:val="24"/>
        </w:rPr>
      </w:pPr>
      <w:r w:rsidRPr="00AE5DDA">
        <w:rPr>
          <w:rFonts w:cs="Times New Roman"/>
          <w:szCs w:val="24"/>
        </w:rPr>
        <w:t>Many strategies for reducing racial bias, but must get people to actually adopt them</w:t>
      </w:r>
    </w:p>
    <w:p w14:paraId="50B44DE2" w14:textId="5BA246B6" w:rsidR="00E613C1" w:rsidRPr="00AE5DDA" w:rsidRDefault="00E613C1" w:rsidP="00E613C1">
      <w:pPr>
        <w:pStyle w:val="ListParagraph"/>
        <w:numPr>
          <w:ilvl w:val="3"/>
          <w:numId w:val="1"/>
        </w:numPr>
        <w:rPr>
          <w:rFonts w:cs="Times New Roman"/>
          <w:szCs w:val="24"/>
        </w:rPr>
      </w:pPr>
      <w:r w:rsidRPr="00AE5DDA">
        <w:rPr>
          <w:rFonts w:cs="Times New Roman"/>
          <w:szCs w:val="24"/>
        </w:rPr>
        <w:t>Strategy must address all three</w:t>
      </w:r>
    </w:p>
    <w:p w14:paraId="330BE27A" w14:textId="4E533805" w:rsidR="000D44F7" w:rsidRDefault="000D44F7" w:rsidP="000D44F7">
      <w:pPr>
        <w:pStyle w:val="ListParagraph"/>
        <w:numPr>
          <w:ilvl w:val="2"/>
          <w:numId w:val="1"/>
        </w:numPr>
        <w:rPr>
          <w:rFonts w:cs="Times New Roman"/>
          <w:szCs w:val="24"/>
        </w:rPr>
      </w:pPr>
      <w:r w:rsidRPr="00AE5DDA">
        <w:rPr>
          <w:rFonts w:cs="Times New Roman"/>
          <w:szCs w:val="24"/>
        </w:rPr>
        <w:t>S</w:t>
      </w:r>
      <w:r w:rsidR="0059176D" w:rsidRPr="00AE5DDA">
        <w:rPr>
          <w:rFonts w:cs="Times New Roman"/>
          <w:szCs w:val="24"/>
        </w:rPr>
        <w:t>acrifice – Organizational change requires investment of time, energy, resources and commitment</w:t>
      </w:r>
    </w:p>
    <w:p w14:paraId="56CC9B28" w14:textId="77777777" w:rsidR="00AE5DDA" w:rsidRPr="00AE5DDA" w:rsidRDefault="00AE5DDA" w:rsidP="00AE5DDA">
      <w:pPr>
        <w:pStyle w:val="ListParagraph"/>
        <w:ind w:left="1800"/>
        <w:rPr>
          <w:rFonts w:cs="Times New Roman"/>
          <w:szCs w:val="24"/>
        </w:rPr>
      </w:pPr>
    </w:p>
    <w:p w14:paraId="0269250D" w14:textId="77526487" w:rsidR="00AE5DDA" w:rsidRPr="009122E8" w:rsidRDefault="00B6289B" w:rsidP="00AE5DDA">
      <w:pPr>
        <w:pStyle w:val="ListParagraph"/>
        <w:numPr>
          <w:ilvl w:val="0"/>
          <w:numId w:val="1"/>
        </w:numPr>
        <w:rPr>
          <w:rFonts w:cs="Times New Roman"/>
          <w:b/>
          <w:szCs w:val="24"/>
        </w:rPr>
      </w:pPr>
      <w:r w:rsidRPr="00AE5DDA">
        <w:rPr>
          <w:rFonts w:cs="Times New Roman"/>
          <w:b/>
          <w:szCs w:val="24"/>
        </w:rPr>
        <w:t xml:space="preserve">Mental Health Disparities </w:t>
      </w:r>
      <w:r w:rsidR="0092480A" w:rsidRPr="00AE5DDA">
        <w:rPr>
          <w:rFonts w:cs="Times New Roman"/>
          <w:b/>
          <w:szCs w:val="24"/>
        </w:rPr>
        <w:t>A</w:t>
      </w:r>
      <w:r w:rsidRPr="00AE5DDA">
        <w:rPr>
          <w:rFonts w:cs="Times New Roman"/>
          <w:b/>
          <w:szCs w:val="24"/>
        </w:rPr>
        <w:t>mong Minorities</w:t>
      </w:r>
    </w:p>
    <w:p w14:paraId="69C7FE7E" w14:textId="2288B619" w:rsidR="000F2159" w:rsidRPr="00AE5DDA" w:rsidRDefault="00B6289B" w:rsidP="00B6289B">
      <w:pPr>
        <w:pStyle w:val="ListParagraph"/>
        <w:numPr>
          <w:ilvl w:val="1"/>
          <w:numId w:val="1"/>
        </w:numPr>
        <w:rPr>
          <w:rFonts w:cs="Times New Roman"/>
          <w:szCs w:val="24"/>
        </w:rPr>
      </w:pPr>
      <w:r w:rsidRPr="00AE5DDA">
        <w:rPr>
          <w:rFonts w:cs="Times New Roman"/>
          <w:szCs w:val="24"/>
        </w:rPr>
        <w:t>Women</w:t>
      </w:r>
      <w:r w:rsidR="006F1D86" w:rsidRPr="00AE5DDA">
        <w:rPr>
          <w:rStyle w:val="FootnoteReference"/>
          <w:rFonts w:cs="Times New Roman"/>
          <w:szCs w:val="24"/>
        </w:rPr>
        <w:footnoteReference w:id="4"/>
      </w:r>
      <w:r w:rsidR="000F2159" w:rsidRPr="00AE5DDA">
        <w:rPr>
          <w:rFonts w:cs="Times New Roman"/>
          <w:szCs w:val="24"/>
        </w:rPr>
        <w:t>:</w:t>
      </w:r>
    </w:p>
    <w:p w14:paraId="57CDAB97" w14:textId="55BA3A54" w:rsidR="00B6289B" w:rsidRPr="00AE5DDA" w:rsidRDefault="008D7FA3" w:rsidP="00B6289B">
      <w:pPr>
        <w:pStyle w:val="ListParagraph"/>
        <w:numPr>
          <w:ilvl w:val="2"/>
          <w:numId w:val="1"/>
        </w:numPr>
        <w:ind w:left="1620"/>
        <w:rPr>
          <w:rFonts w:cs="Times New Roman"/>
          <w:szCs w:val="24"/>
        </w:rPr>
      </w:pPr>
      <w:r w:rsidRPr="00AE5DDA">
        <w:rPr>
          <w:rFonts w:cs="Times New Roman"/>
          <w:szCs w:val="24"/>
        </w:rPr>
        <w:t>Health Challenges</w:t>
      </w:r>
      <w:r w:rsidR="000F2159" w:rsidRPr="00AE5DDA">
        <w:rPr>
          <w:rFonts w:cs="Times New Roman"/>
          <w:szCs w:val="24"/>
        </w:rPr>
        <w:t xml:space="preserve"> - </w:t>
      </w:r>
      <w:r w:rsidR="00B6289B" w:rsidRPr="00AE5DDA">
        <w:rPr>
          <w:rFonts w:cs="Times New Roman"/>
          <w:szCs w:val="24"/>
        </w:rPr>
        <w:t>Depression /PTSD / Anxiety – Women twice as much as men</w:t>
      </w:r>
      <w:r w:rsidR="000F2159" w:rsidRPr="00AE5DDA">
        <w:rPr>
          <w:rFonts w:cs="Times New Roman"/>
          <w:szCs w:val="24"/>
        </w:rPr>
        <w:t xml:space="preserve">, </w:t>
      </w:r>
      <w:r w:rsidR="00B6289B" w:rsidRPr="00AE5DDA">
        <w:rPr>
          <w:rFonts w:cs="Times New Roman"/>
          <w:szCs w:val="24"/>
        </w:rPr>
        <w:t>Eating Disorders – 85-95% of people with anorexia/bulimia are women</w:t>
      </w:r>
      <w:r w:rsidR="000F2159" w:rsidRPr="00AE5DDA">
        <w:rPr>
          <w:rFonts w:cs="Times New Roman"/>
          <w:szCs w:val="24"/>
        </w:rPr>
        <w:t>,</w:t>
      </w:r>
      <w:r w:rsidR="00B6289B" w:rsidRPr="00AE5DDA">
        <w:rPr>
          <w:rFonts w:cs="Times New Roman"/>
          <w:szCs w:val="24"/>
        </w:rPr>
        <w:t xml:space="preserve"> and 65% of those with binge eating disorder are women</w:t>
      </w:r>
      <w:r w:rsidR="000F2159" w:rsidRPr="00AE5DDA">
        <w:rPr>
          <w:rFonts w:cs="Times New Roman"/>
          <w:szCs w:val="24"/>
        </w:rPr>
        <w:t>.</w:t>
      </w:r>
    </w:p>
    <w:p w14:paraId="65C50B0B" w14:textId="5C49E3DC" w:rsidR="000F2159" w:rsidRPr="00AE5DDA" w:rsidRDefault="000F2159" w:rsidP="00B6289B">
      <w:pPr>
        <w:pStyle w:val="ListParagraph"/>
        <w:numPr>
          <w:ilvl w:val="2"/>
          <w:numId w:val="1"/>
        </w:numPr>
        <w:ind w:left="1620"/>
        <w:rPr>
          <w:rFonts w:cs="Times New Roman"/>
          <w:szCs w:val="24"/>
        </w:rPr>
      </w:pPr>
      <w:r w:rsidRPr="00AE5DDA">
        <w:rPr>
          <w:rFonts w:cs="Times New Roman"/>
          <w:szCs w:val="24"/>
        </w:rPr>
        <w:t>Risk Factors for Mental Health – Women earn less than men, 1/3 women experienced sexual violence/physical violence or stalking, 65% of caregivers are women who spend 50% more time in that role than men.</w:t>
      </w:r>
    </w:p>
    <w:p w14:paraId="19B7611E" w14:textId="3EE99754" w:rsidR="000F2159" w:rsidRPr="00AE5DDA" w:rsidRDefault="000F2159" w:rsidP="00B6289B">
      <w:pPr>
        <w:pStyle w:val="ListParagraph"/>
        <w:numPr>
          <w:ilvl w:val="2"/>
          <w:numId w:val="1"/>
        </w:numPr>
        <w:ind w:left="1620"/>
        <w:rPr>
          <w:rFonts w:cs="Times New Roman"/>
          <w:szCs w:val="24"/>
        </w:rPr>
      </w:pPr>
      <w:r w:rsidRPr="00AE5DDA">
        <w:rPr>
          <w:rFonts w:cs="Times New Roman"/>
          <w:szCs w:val="24"/>
        </w:rPr>
        <w:lastRenderedPageBreak/>
        <w:t>Gender Differences in Seeking/Receiving Mental Health Services – Women more likely to be prescribed psychotropic drugs than men, women more likely to get care from PCP (men seek a specialist), Women less likely to discuss alcohol problem than men</w:t>
      </w:r>
    </w:p>
    <w:p w14:paraId="225F3ADF" w14:textId="58B6C689" w:rsidR="000F2159" w:rsidRPr="00AE5DDA" w:rsidRDefault="00522CED" w:rsidP="008D7FA3">
      <w:pPr>
        <w:pStyle w:val="ListParagraph"/>
        <w:numPr>
          <w:ilvl w:val="1"/>
          <w:numId w:val="1"/>
        </w:numPr>
        <w:rPr>
          <w:rFonts w:cs="Times New Roman"/>
          <w:szCs w:val="24"/>
        </w:rPr>
      </w:pPr>
      <w:r w:rsidRPr="00AE5DDA">
        <w:rPr>
          <w:rFonts w:cs="Times New Roman"/>
          <w:szCs w:val="24"/>
        </w:rPr>
        <w:t>Racial Disparities – African Americans</w:t>
      </w:r>
      <w:r w:rsidR="006F1D86" w:rsidRPr="00AE5DDA">
        <w:rPr>
          <w:rStyle w:val="FootnoteReference"/>
          <w:rFonts w:cs="Times New Roman"/>
          <w:szCs w:val="24"/>
        </w:rPr>
        <w:footnoteReference w:id="5"/>
      </w:r>
      <w:r w:rsidRPr="00AE5DDA">
        <w:rPr>
          <w:rFonts w:cs="Times New Roman"/>
          <w:szCs w:val="24"/>
        </w:rPr>
        <w:t xml:space="preserve"> 13.3% of the population:</w:t>
      </w:r>
    </w:p>
    <w:p w14:paraId="104EC8DA" w14:textId="2626914E" w:rsidR="008D7FA3" w:rsidRPr="00AE5DDA" w:rsidRDefault="008D7FA3" w:rsidP="008D7FA3">
      <w:pPr>
        <w:pStyle w:val="ListParagraph"/>
        <w:numPr>
          <w:ilvl w:val="2"/>
          <w:numId w:val="1"/>
        </w:numPr>
        <w:rPr>
          <w:rFonts w:cs="Times New Roman"/>
          <w:szCs w:val="24"/>
        </w:rPr>
      </w:pPr>
      <w:r w:rsidRPr="00AE5DDA">
        <w:rPr>
          <w:rFonts w:cs="Times New Roman"/>
          <w:szCs w:val="24"/>
        </w:rPr>
        <w:t>Health challenges - 27% live below the poverty line (10.8% of non-Hispanic whites), Death rate higher than that of whites for: heart disease, stroke, cancer, asthma, influenza, pneumonia, HIV/AIDS and homicide, 30% of households headed by a woman with no male counterpart</w:t>
      </w:r>
    </w:p>
    <w:p w14:paraId="30A122CC" w14:textId="3DB40CB9" w:rsidR="008D7FA3" w:rsidRPr="00AE5DDA" w:rsidRDefault="008D7FA3" w:rsidP="008D7FA3">
      <w:pPr>
        <w:pStyle w:val="ListParagraph"/>
        <w:numPr>
          <w:ilvl w:val="2"/>
          <w:numId w:val="1"/>
        </w:numPr>
        <w:rPr>
          <w:rFonts w:cs="Times New Roman"/>
          <w:szCs w:val="24"/>
        </w:rPr>
      </w:pPr>
      <w:r w:rsidRPr="00AE5DDA">
        <w:rPr>
          <w:rFonts w:cs="Times New Roman"/>
          <w:szCs w:val="24"/>
        </w:rPr>
        <w:t xml:space="preserve">Risk Factors for Mental Health – only1/3 who need mental health care receive it, African Americans with mental illness more likely to use emergency rooms than specialists, and are less likely to receive </w:t>
      </w:r>
      <w:r w:rsidR="004526C6" w:rsidRPr="00AE5DDA">
        <w:rPr>
          <w:rFonts w:cs="Times New Roman"/>
          <w:szCs w:val="24"/>
        </w:rPr>
        <w:t>evidence-based</w:t>
      </w:r>
      <w:r w:rsidR="00822C4C" w:rsidRPr="00AE5DDA">
        <w:rPr>
          <w:rFonts w:cs="Times New Roman"/>
          <w:szCs w:val="24"/>
        </w:rPr>
        <w:t xml:space="preserve"> medication therapy or psychotherapy</w:t>
      </w:r>
    </w:p>
    <w:p w14:paraId="214D18FA" w14:textId="77A67190" w:rsidR="008D7FA3" w:rsidRPr="00AE5DDA" w:rsidRDefault="00822C4C" w:rsidP="008D7FA3">
      <w:pPr>
        <w:pStyle w:val="ListParagraph"/>
        <w:numPr>
          <w:ilvl w:val="2"/>
          <w:numId w:val="1"/>
        </w:numPr>
        <w:rPr>
          <w:rFonts w:cs="Times New Roman"/>
          <w:szCs w:val="24"/>
        </w:rPr>
      </w:pPr>
      <w:r w:rsidRPr="00AE5DDA">
        <w:rPr>
          <w:rFonts w:cs="Times New Roman"/>
          <w:szCs w:val="24"/>
        </w:rPr>
        <w:t>Barriers to Mental Health: distrust of the health care system, lack of diverse racial/ethnic background of providers, lack of insurance/under insurance</w:t>
      </w:r>
    </w:p>
    <w:p w14:paraId="0ED98790" w14:textId="3EBEC618" w:rsidR="00822C4C" w:rsidRPr="00AE5DDA" w:rsidRDefault="00822C4C" w:rsidP="00822C4C">
      <w:pPr>
        <w:pStyle w:val="ListParagraph"/>
        <w:numPr>
          <w:ilvl w:val="1"/>
          <w:numId w:val="1"/>
        </w:numPr>
        <w:rPr>
          <w:rFonts w:cs="Times New Roman"/>
          <w:szCs w:val="24"/>
        </w:rPr>
      </w:pPr>
      <w:r w:rsidRPr="00AE5DDA">
        <w:rPr>
          <w:rFonts w:cs="Times New Roman"/>
          <w:szCs w:val="24"/>
        </w:rPr>
        <w:t>Racial Disparities - Asian Americans/ Pacific Islanders</w:t>
      </w:r>
      <w:r w:rsidR="006F1D86" w:rsidRPr="00AE5DDA">
        <w:rPr>
          <w:rStyle w:val="FootnoteReference"/>
          <w:rFonts w:cs="Times New Roman"/>
          <w:szCs w:val="24"/>
        </w:rPr>
        <w:footnoteReference w:id="6"/>
      </w:r>
    </w:p>
    <w:p w14:paraId="54E35311" w14:textId="326A10D0" w:rsidR="00822C4C" w:rsidRPr="00AE5DDA" w:rsidRDefault="00822C4C" w:rsidP="00822C4C">
      <w:pPr>
        <w:pStyle w:val="ListParagraph"/>
        <w:numPr>
          <w:ilvl w:val="2"/>
          <w:numId w:val="1"/>
        </w:numPr>
        <w:rPr>
          <w:rFonts w:cs="Times New Roman"/>
          <w:szCs w:val="24"/>
        </w:rPr>
      </w:pPr>
      <w:r w:rsidRPr="00AE5DDA">
        <w:rPr>
          <w:rFonts w:cs="Times New Roman"/>
          <w:szCs w:val="24"/>
        </w:rPr>
        <w:t>Health Challenges – 50 subpopulations speaking over 100 languages, fastest growing ethnic group on U.S., highest life expectancy of any group</w:t>
      </w:r>
    </w:p>
    <w:p w14:paraId="2AA325F0" w14:textId="131A3ECF" w:rsidR="00822C4C" w:rsidRPr="00AE5DDA" w:rsidRDefault="00822C4C" w:rsidP="00822C4C">
      <w:pPr>
        <w:pStyle w:val="ListParagraph"/>
        <w:numPr>
          <w:ilvl w:val="2"/>
          <w:numId w:val="1"/>
        </w:numPr>
        <w:rPr>
          <w:rFonts w:cs="Times New Roman"/>
          <w:szCs w:val="24"/>
        </w:rPr>
      </w:pPr>
      <w:r w:rsidRPr="00AE5DDA">
        <w:rPr>
          <w:rFonts w:cs="Times New Roman"/>
          <w:szCs w:val="24"/>
        </w:rPr>
        <w:t xml:space="preserve">Risk Factors for Mental Health – 70% from SE Asia diagnosed with PTSD, suicide was a leading cause of death </w:t>
      </w:r>
      <w:r w:rsidR="00DF5E68" w:rsidRPr="00AE5DDA">
        <w:rPr>
          <w:rFonts w:cs="Times New Roman"/>
          <w:szCs w:val="24"/>
        </w:rPr>
        <w:t xml:space="preserve">(alone) </w:t>
      </w:r>
      <w:r w:rsidRPr="00AE5DDA">
        <w:rPr>
          <w:rFonts w:cs="Times New Roman"/>
          <w:szCs w:val="24"/>
        </w:rPr>
        <w:t>for those 15-24</w:t>
      </w:r>
      <w:r w:rsidR="00DF5E68" w:rsidRPr="00AE5DDA">
        <w:rPr>
          <w:rFonts w:cs="Times New Roman"/>
          <w:szCs w:val="24"/>
        </w:rPr>
        <w:t xml:space="preserve"> </w:t>
      </w:r>
    </w:p>
    <w:p w14:paraId="757176C9" w14:textId="08CED773" w:rsidR="00822C4C" w:rsidRPr="00AE5DDA" w:rsidRDefault="00822C4C" w:rsidP="00822C4C">
      <w:pPr>
        <w:pStyle w:val="ListParagraph"/>
        <w:numPr>
          <w:ilvl w:val="2"/>
          <w:numId w:val="1"/>
        </w:numPr>
        <w:rPr>
          <w:rFonts w:cs="Times New Roman"/>
          <w:szCs w:val="24"/>
        </w:rPr>
      </w:pPr>
      <w:r w:rsidRPr="00AE5DDA">
        <w:rPr>
          <w:rFonts w:cs="Times New Roman"/>
          <w:szCs w:val="24"/>
        </w:rPr>
        <w:t xml:space="preserve">Barriers to Mental Health </w:t>
      </w:r>
      <w:r w:rsidR="00DF5E68" w:rsidRPr="00AE5DDA">
        <w:rPr>
          <w:rFonts w:cs="Times New Roman"/>
          <w:szCs w:val="24"/>
        </w:rPr>
        <w:t>–</w:t>
      </w:r>
      <w:r w:rsidRPr="00AE5DDA">
        <w:rPr>
          <w:rFonts w:cs="Times New Roman"/>
          <w:szCs w:val="24"/>
        </w:rPr>
        <w:t xml:space="preserve"> </w:t>
      </w:r>
      <w:r w:rsidR="00DF5E68" w:rsidRPr="00AE5DDA">
        <w:rPr>
          <w:rFonts w:cs="Times New Roman"/>
          <w:szCs w:val="24"/>
        </w:rPr>
        <w:t>Myth of Model Minority: group perceived to have higher degree of socioeconomic success creates unreasonable pressure, lack of understanding of mental health leads to denial/neglect of mental health issues.</w:t>
      </w:r>
    </w:p>
    <w:p w14:paraId="1F3F2C3D" w14:textId="0005D3DB" w:rsidR="00522CED" w:rsidRPr="00AE5DDA" w:rsidRDefault="00DF5E68" w:rsidP="000F2159">
      <w:pPr>
        <w:pStyle w:val="ListParagraph"/>
        <w:numPr>
          <w:ilvl w:val="1"/>
          <w:numId w:val="1"/>
        </w:numPr>
        <w:rPr>
          <w:rFonts w:cs="Times New Roman"/>
          <w:szCs w:val="24"/>
        </w:rPr>
      </w:pPr>
      <w:r w:rsidRPr="00AE5DDA">
        <w:rPr>
          <w:rFonts w:cs="Times New Roman"/>
          <w:szCs w:val="24"/>
        </w:rPr>
        <w:t>Racial Disparities – Hispanics and Latinos</w:t>
      </w:r>
      <w:r w:rsidR="0021061D" w:rsidRPr="00AE5DDA">
        <w:rPr>
          <w:rStyle w:val="FootnoteReference"/>
          <w:rFonts w:cs="Times New Roman"/>
          <w:szCs w:val="24"/>
        </w:rPr>
        <w:footnoteReference w:id="7"/>
      </w:r>
      <w:r w:rsidRPr="00AE5DDA">
        <w:rPr>
          <w:rFonts w:cs="Times New Roman"/>
          <w:szCs w:val="24"/>
        </w:rPr>
        <w:t xml:space="preserve"> (Hispanic refers to a language and those whose ancestry comes from Spanish speaking countries.  Latino refers to geography and specifically those from Latin America including Caribbean, South America and Central America.</w:t>
      </w:r>
    </w:p>
    <w:p w14:paraId="1EF7196A" w14:textId="46D9C7C1" w:rsidR="00DF5E68" w:rsidRPr="00AE5DDA" w:rsidRDefault="00DF5E68" w:rsidP="00DF5E68">
      <w:pPr>
        <w:pStyle w:val="ListParagraph"/>
        <w:numPr>
          <w:ilvl w:val="2"/>
          <w:numId w:val="1"/>
        </w:numPr>
        <w:rPr>
          <w:rFonts w:cs="Times New Roman"/>
          <w:szCs w:val="24"/>
        </w:rPr>
      </w:pPr>
      <w:r w:rsidRPr="00AE5DDA">
        <w:rPr>
          <w:rFonts w:cs="Times New Roman"/>
          <w:szCs w:val="24"/>
        </w:rPr>
        <w:t>Health Challenges – Youngest ethnic group in US 1/3 under 18, will make up 30% of US population by 2060</w:t>
      </w:r>
    </w:p>
    <w:p w14:paraId="2BD10950" w14:textId="1B1AD452" w:rsidR="00DF5E68" w:rsidRPr="00AE5DDA" w:rsidRDefault="00DF5E68" w:rsidP="00DF5E68">
      <w:pPr>
        <w:pStyle w:val="ListParagraph"/>
        <w:numPr>
          <w:ilvl w:val="2"/>
          <w:numId w:val="1"/>
        </w:numPr>
        <w:rPr>
          <w:rFonts w:cs="Times New Roman"/>
          <w:szCs w:val="24"/>
        </w:rPr>
      </w:pPr>
      <w:r w:rsidRPr="00AE5DDA">
        <w:rPr>
          <w:rFonts w:cs="Times New Roman"/>
          <w:szCs w:val="24"/>
        </w:rPr>
        <w:t>Risk Factors for Mental Health – Lower risk of most psychiatric disorders (with US born reporting higher rates than non-US born), 1/10 use PCP for mental health issues and only 1/20 receive help of a specialist, 21.1% uninsured</w:t>
      </w:r>
    </w:p>
    <w:p w14:paraId="6F5012F2" w14:textId="1D8990A5" w:rsidR="00DF5E68" w:rsidRPr="00AE5DDA" w:rsidRDefault="00DF5E68" w:rsidP="00DF5E68">
      <w:pPr>
        <w:pStyle w:val="ListParagraph"/>
        <w:numPr>
          <w:ilvl w:val="2"/>
          <w:numId w:val="1"/>
        </w:numPr>
        <w:rPr>
          <w:rFonts w:cs="Times New Roman"/>
          <w:szCs w:val="24"/>
        </w:rPr>
      </w:pPr>
      <w:r w:rsidRPr="00AE5DDA">
        <w:rPr>
          <w:rFonts w:cs="Times New Roman"/>
          <w:szCs w:val="24"/>
        </w:rPr>
        <w:t xml:space="preserve">Barriers to Mental Health – Lack of insurance, </w:t>
      </w:r>
      <w:r w:rsidR="00040D5B" w:rsidRPr="00AE5DDA">
        <w:rPr>
          <w:rFonts w:cs="Times New Roman"/>
          <w:szCs w:val="24"/>
        </w:rPr>
        <w:t>cultural stigma associated with mental health issues, shortage of bilingual or linguistically trained health professionals, lack of awareness of mental health problems</w:t>
      </w:r>
    </w:p>
    <w:p w14:paraId="417EDC96" w14:textId="099D205A" w:rsidR="00040D5B" w:rsidRPr="00AE5DDA" w:rsidRDefault="00040D5B" w:rsidP="00040D5B">
      <w:pPr>
        <w:pStyle w:val="ListParagraph"/>
        <w:numPr>
          <w:ilvl w:val="1"/>
          <w:numId w:val="1"/>
        </w:numPr>
        <w:rPr>
          <w:rFonts w:cs="Times New Roman"/>
          <w:szCs w:val="24"/>
        </w:rPr>
      </w:pPr>
      <w:r w:rsidRPr="00AE5DDA">
        <w:rPr>
          <w:rFonts w:cs="Times New Roman"/>
          <w:szCs w:val="24"/>
        </w:rPr>
        <w:t>Racial Disparities – American Indians / Alaskan Natives</w:t>
      </w:r>
      <w:r w:rsidR="0021061D" w:rsidRPr="00AE5DDA">
        <w:rPr>
          <w:rStyle w:val="FootnoteReference"/>
          <w:rFonts w:cs="Times New Roman"/>
          <w:szCs w:val="24"/>
        </w:rPr>
        <w:footnoteReference w:id="8"/>
      </w:r>
      <w:r w:rsidRPr="00AE5DDA">
        <w:rPr>
          <w:rFonts w:cs="Times New Roman"/>
          <w:szCs w:val="24"/>
        </w:rPr>
        <w:t xml:space="preserve"> </w:t>
      </w:r>
    </w:p>
    <w:p w14:paraId="1B893884" w14:textId="6934F0F0" w:rsidR="00040D5B" w:rsidRPr="00AE5DDA" w:rsidRDefault="00040D5B" w:rsidP="00040D5B">
      <w:pPr>
        <w:pStyle w:val="ListParagraph"/>
        <w:numPr>
          <w:ilvl w:val="2"/>
          <w:numId w:val="1"/>
        </w:numPr>
        <w:rPr>
          <w:rFonts w:cs="Times New Roman"/>
          <w:szCs w:val="24"/>
        </w:rPr>
      </w:pPr>
      <w:r w:rsidRPr="00AE5DDA">
        <w:rPr>
          <w:rFonts w:cs="Times New Roman"/>
          <w:szCs w:val="24"/>
        </w:rPr>
        <w:t>Health Challenges – 567 federally recognized AI/AN with more than 200 languages, 2/3 live off the reservations, life expectancy is 4.4 years lower than the nation, highest poverty rate of any ethnicity</w:t>
      </w:r>
    </w:p>
    <w:p w14:paraId="10839596" w14:textId="533D0A73" w:rsidR="00040D5B" w:rsidRPr="00AE5DDA" w:rsidRDefault="00040D5B" w:rsidP="00040D5B">
      <w:pPr>
        <w:pStyle w:val="ListParagraph"/>
        <w:numPr>
          <w:ilvl w:val="2"/>
          <w:numId w:val="1"/>
        </w:numPr>
        <w:rPr>
          <w:rFonts w:cs="Times New Roman"/>
          <w:szCs w:val="24"/>
        </w:rPr>
      </w:pPr>
      <w:r w:rsidRPr="00AE5DDA">
        <w:rPr>
          <w:rFonts w:cs="Times New Roman"/>
          <w:szCs w:val="24"/>
        </w:rPr>
        <w:t>Risk Factors for Mental Health – High rates of Substance Use Disorders (SUD), PTSD suicide and intergenerational historical trauma, Highest reported rates of depression</w:t>
      </w:r>
    </w:p>
    <w:p w14:paraId="0BA850D8" w14:textId="415834BA" w:rsidR="00040D5B" w:rsidRPr="00AE5DDA" w:rsidRDefault="00040D5B" w:rsidP="00040D5B">
      <w:pPr>
        <w:pStyle w:val="ListParagraph"/>
        <w:numPr>
          <w:ilvl w:val="2"/>
          <w:numId w:val="1"/>
        </w:numPr>
        <w:rPr>
          <w:rFonts w:cs="Times New Roman"/>
          <w:szCs w:val="24"/>
        </w:rPr>
      </w:pPr>
      <w:r w:rsidRPr="00AE5DDA">
        <w:rPr>
          <w:rFonts w:cs="Times New Roman"/>
          <w:szCs w:val="24"/>
        </w:rPr>
        <w:t xml:space="preserve">Barriers to Mental Health – significantly more likely to seek help from traditional healer than other sources, lack insurance and financial resources, mistrust health care providers, </w:t>
      </w:r>
      <w:r w:rsidR="00AB1A9B" w:rsidRPr="00AE5DDA">
        <w:rPr>
          <w:rFonts w:cs="Times New Roman"/>
          <w:szCs w:val="24"/>
        </w:rPr>
        <w:t>lack of awareness of mental health issues and available services</w:t>
      </w:r>
    </w:p>
    <w:p w14:paraId="6FEBA041" w14:textId="5F4FA1D3" w:rsidR="00AB1A9B" w:rsidRPr="00AE5DDA" w:rsidRDefault="00AB1A9B" w:rsidP="00AB1A9B">
      <w:pPr>
        <w:pStyle w:val="ListParagraph"/>
        <w:numPr>
          <w:ilvl w:val="1"/>
          <w:numId w:val="1"/>
        </w:numPr>
        <w:rPr>
          <w:rFonts w:cs="Times New Roman"/>
          <w:szCs w:val="24"/>
        </w:rPr>
      </w:pPr>
      <w:r w:rsidRPr="00AE5DDA">
        <w:rPr>
          <w:rFonts w:cs="Times New Roman"/>
          <w:szCs w:val="24"/>
        </w:rPr>
        <w:t>LGBTQ Disparities – Gay</w:t>
      </w:r>
      <w:r w:rsidR="0092480A" w:rsidRPr="00AE5DDA">
        <w:rPr>
          <w:rFonts w:cs="Times New Roman"/>
          <w:szCs w:val="24"/>
        </w:rPr>
        <w:t xml:space="preserve">/Lesbian </w:t>
      </w:r>
      <w:r w:rsidRPr="00AE5DDA">
        <w:rPr>
          <w:rFonts w:cs="Times New Roman"/>
          <w:szCs w:val="24"/>
        </w:rPr>
        <w:t>Population</w:t>
      </w:r>
      <w:r w:rsidR="0021061D" w:rsidRPr="00AE5DDA">
        <w:rPr>
          <w:rStyle w:val="FootnoteReference"/>
          <w:rFonts w:cs="Times New Roman"/>
          <w:szCs w:val="24"/>
        </w:rPr>
        <w:footnoteReference w:id="9"/>
      </w:r>
    </w:p>
    <w:p w14:paraId="2D3B0714" w14:textId="1047B859" w:rsidR="00AB1A9B" w:rsidRPr="00AE5DDA" w:rsidRDefault="00AB1A9B" w:rsidP="00AB1A9B">
      <w:pPr>
        <w:pStyle w:val="ListParagraph"/>
        <w:numPr>
          <w:ilvl w:val="2"/>
          <w:numId w:val="1"/>
        </w:numPr>
        <w:rPr>
          <w:rFonts w:cs="Times New Roman"/>
          <w:szCs w:val="24"/>
        </w:rPr>
      </w:pPr>
      <w:r w:rsidRPr="00AE5DDA">
        <w:rPr>
          <w:rFonts w:cs="Times New Roman"/>
          <w:szCs w:val="24"/>
        </w:rPr>
        <w:t>Health challenges – Increased rates of mood/anxiety disorders,</w:t>
      </w:r>
      <w:r w:rsidR="0092480A" w:rsidRPr="00AE5DDA">
        <w:rPr>
          <w:rFonts w:cs="Times New Roman"/>
          <w:szCs w:val="24"/>
        </w:rPr>
        <w:t xml:space="preserve"> </w:t>
      </w:r>
      <w:r w:rsidRPr="00AE5DDA">
        <w:rPr>
          <w:rFonts w:cs="Times New Roman"/>
          <w:szCs w:val="24"/>
        </w:rPr>
        <w:t>discrimination affects access to jobs, insurance and financial stability, internalized homonegativity results in devaluation of the self</w:t>
      </w:r>
    </w:p>
    <w:p w14:paraId="5B58107E" w14:textId="347DF004" w:rsidR="00EC4A30" w:rsidRPr="00AE5DDA" w:rsidRDefault="00AB1A9B" w:rsidP="00AB1A9B">
      <w:pPr>
        <w:pStyle w:val="ListParagraph"/>
        <w:numPr>
          <w:ilvl w:val="2"/>
          <w:numId w:val="1"/>
        </w:numPr>
        <w:rPr>
          <w:rFonts w:cs="Times New Roman"/>
          <w:szCs w:val="24"/>
        </w:rPr>
      </w:pPr>
      <w:r w:rsidRPr="00AE5DDA">
        <w:rPr>
          <w:rFonts w:cs="Times New Roman"/>
          <w:szCs w:val="24"/>
        </w:rPr>
        <w:t>Risk Factors for Mental Health</w:t>
      </w:r>
      <w:r w:rsidR="00EC4A30" w:rsidRPr="00AE5DDA">
        <w:rPr>
          <w:rFonts w:cs="Times New Roman"/>
          <w:szCs w:val="24"/>
        </w:rPr>
        <w:t xml:space="preserve"> - 1/6 attempt suicide in their lifetime, higher rates of substance abuse, couples have increased stress due to disclosing relationships to family, being safe in public, feeling judged and having unequal legal rights.</w:t>
      </w:r>
    </w:p>
    <w:p w14:paraId="1CFBCEE7" w14:textId="3429DFB2" w:rsidR="00AB1A9B" w:rsidRPr="00AE5DDA" w:rsidRDefault="00EC4A30" w:rsidP="00AB1A9B">
      <w:pPr>
        <w:pStyle w:val="ListParagraph"/>
        <w:numPr>
          <w:ilvl w:val="2"/>
          <w:numId w:val="1"/>
        </w:numPr>
        <w:rPr>
          <w:rFonts w:cs="Times New Roman"/>
          <w:szCs w:val="24"/>
        </w:rPr>
      </w:pPr>
      <w:r w:rsidRPr="00AE5DDA">
        <w:rPr>
          <w:rFonts w:cs="Times New Roman"/>
          <w:szCs w:val="24"/>
        </w:rPr>
        <w:t xml:space="preserve">Barriers to Mental Health </w:t>
      </w:r>
      <w:r w:rsidR="00AB1A9B" w:rsidRPr="00AE5DDA">
        <w:rPr>
          <w:rFonts w:cs="Times New Roman"/>
          <w:szCs w:val="24"/>
        </w:rPr>
        <w:t>– more likely to report dissatisfaction with health care system, social discrimination linked to decreased service use</w:t>
      </w:r>
      <w:r w:rsidRPr="00AE5DDA">
        <w:rPr>
          <w:rFonts w:cs="Times New Roman"/>
          <w:szCs w:val="24"/>
        </w:rPr>
        <w:t>, social isolation and worsening psychological symptoms</w:t>
      </w:r>
    </w:p>
    <w:p w14:paraId="665F4C9F" w14:textId="6EC06A0F" w:rsidR="00EC4A30" w:rsidRPr="00AE5DDA" w:rsidRDefault="00EC4A30" w:rsidP="00EC4A30">
      <w:pPr>
        <w:pStyle w:val="ListParagraph"/>
        <w:numPr>
          <w:ilvl w:val="1"/>
          <w:numId w:val="1"/>
        </w:numPr>
        <w:rPr>
          <w:rFonts w:cs="Times New Roman"/>
          <w:szCs w:val="24"/>
        </w:rPr>
      </w:pPr>
      <w:r w:rsidRPr="00AE5DDA">
        <w:rPr>
          <w:rFonts w:cs="Times New Roman"/>
          <w:szCs w:val="24"/>
        </w:rPr>
        <w:t>LGBTQ Disparities – Bisexual Populations</w:t>
      </w:r>
      <w:r w:rsidR="0021061D" w:rsidRPr="00AE5DDA">
        <w:rPr>
          <w:rStyle w:val="FootnoteReference"/>
          <w:rFonts w:cs="Times New Roman"/>
          <w:szCs w:val="24"/>
        </w:rPr>
        <w:footnoteReference w:id="10"/>
      </w:r>
      <w:r w:rsidRPr="00AE5DDA">
        <w:rPr>
          <w:rFonts w:cs="Times New Roman"/>
          <w:szCs w:val="24"/>
        </w:rPr>
        <w:t xml:space="preserve"> – </w:t>
      </w:r>
    </w:p>
    <w:p w14:paraId="136EF2C4" w14:textId="2A1882F0" w:rsidR="00EC4A30" w:rsidRPr="00AE5DDA" w:rsidRDefault="00EC4A30" w:rsidP="00EC4A30">
      <w:pPr>
        <w:pStyle w:val="ListParagraph"/>
        <w:numPr>
          <w:ilvl w:val="2"/>
          <w:numId w:val="1"/>
        </w:numPr>
        <w:rPr>
          <w:rFonts w:cs="Times New Roman"/>
          <w:szCs w:val="24"/>
        </w:rPr>
      </w:pPr>
      <w:r w:rsidRPr="00AE5DDA">
        <w:rPr>
          <w:rFonts w:cs="Times New Roman"/>
          <w:szCs w:val="24"/>
        </w:rPr>
        <w:t>Health Challenges – largest self-identified group with lowest research, variations within the group in terms of sexual attraction and sexual behavior</w:t>
      </w:r>
    </w:p>
    <w:p w14:paraId="0963EF28" w14:textId="13D53039" w:rsidR="00EC4A30" w:rsidRPr="00AE5DDA" w:rsidRDefault="00EC4A30" w:rsidP="00EC4A30">
      <w:pPr>
        <w:pStyle w:val="ListParagraph"/>
        <w:numPr>
          <w:ilvl w:val="2"/>
          <w:numId w:val="1"/>
        </w:numPr>
        <w:rPr>
          <w:rFonts w:cs="Times New Roman"/>
          <w:szCs w:val="24"/>
        </w:rPr>
      </w:pPr>
      <w:r w:rsidRPr="00AE5DDA">
        <w:rPr>
          <w:rFonts w:cs="Times New Roman"/>
          <w:szCs w:val="24"/>
        </w:rPr>
        <w:t xml:space="preserve">Risk Factors for Mental Health – Regularly experience hostility from other members of the LGBTQ community (bi-negativity), more likely to hide their identity that gay or lesbian increasing stress/anxiety, </w:t>
      </w:r>
      <w:r w:rsidR="00FC1268" w:rsidRPr="00AE5DDA">
        <w:rPr>
          <w:rFonts w:cs="Times New Roman"/>
          <w:szCs w:val="24"/>
        </w:rPr>
        <w:t>increased risk of suicide over gay/lesbian or hetero community</w:t>
      </w:r>
    </w:p>
    <w:p w14:paraId="1CFBD00A" w14:textId="41A0FF55" w:rsidR="00FC1268" w:rsidRPr="00AE5DDA" w:rsidRDefault="00FC1268" w:rsidP="00EC4A30">
      <w:pPr>
        <w:pStyle w:val="ListParagraph"/>
        <w:numPr>
          <w:ilvl w:val="2"/>
          <w:numId w:val="1"/>
        </w:numPr>
        <w:rPr>
          <w:rFonts w:cs="Times New Roman"/>
          <w:szCs w:val="24"/>
        </w:rPr>
      </w:pPr>
      <w:r w:rsidRPr="00AE5DDA">
        <w:rPr>
          <w:rFonts w:cs="Times New Roman"/>
          <w:szCs w:val="24"/>
        </w:rPr>
        <w:t>Barriers to Mental Health – underrepresented in research, more likely to have experienced sexual trauma as a child, seek mental health services for concerns about their sexuality less than gay/lesbian peers, minority stress and social isolation due to marginalization of their identity</w:t>
      </w:r>
    </w:p>
    <w:p w14:paraId="58702FFA" w14:textId="6B827929" w:rsidR="00FC1268" w:rsidRPr="00AE5DDA" w:rsidRDefault="00FC1268" w:rsidP="00FC1268">
      <w:pPr>
        <w:pStyle w:val="ListParagraph"/>
        <w:numPr>
          <w:ilvl w:val="1"/>
          <w:numId w:val="1"/>
        </w:numPr>
        <w:rPr>
          <w:rFonts w:cs="Times New Roman"/>
          <w:szCs w:val="24"/>
        </w:rPr>
      </w:pPr>
      <w:r w:rsidRPr="00AE5DDA">
        <w:rPr>
          <w:rFonts w:cs="Times New Roman"/>
          <w:szCs w:val="24"/>
        </w:rPr>
        <w:t>LGBTQ Disparities – Questioning/Queer Population</w:t>
      </w:r>
      <w:r w:rsidR="0066709D" w:rsidRPr="00AE5DDA">
        <w:rPr>
          <w:rStyle w:val="FootnoteReference"/>
          <w:rFonts w:cs="Times New Roman"/>
          <w:szCs w:val="24"/>
        </w:rPr>
        <w:footnoteReference w:id="11"/>
      </w:r>
      <w:r w:rsidRPr="00AE5DDA">
        <w:rPr>
          <w:rFonts w:cs="Times New Roman"/>
          <w:szCs w:val="24"/>
        </w:rPr>
        <w:t xml:space="preserve"> – Questioning: process of determining sexual orientation/gender identity, Asexual: people who do not experience sexual attraction, Genderqueer: umbrella term for individuals who describe their gender identity that does not conform to the male/female gender binary</w:t>
      </w:r>
    </w:p>
    <w:p w14:paraId="2C950F11" w14:textId="4B2F592B" w:rsidR="00FC1268" w:rsidRPr="00AE5DDA" w:rsidRDefault="00FC1268" w:rsidP="00FC1268">
      <w:pPr>
        <w:pStyle w:val="ListParagraph"/>
        <w:numPr>
          <w:ilvl w:val="2"/>
          <w:numId w:val="1"/>
        </w:numPr>
        <w:rPr>
          <w:rFonts w:cs="Times New Roman"/>
          <w:szCs w:val="24"/>
        </w:rPr>
      </w:pPr>
      <w:r w:rsidRPr="00AE5DDA">
        <w:rPr>
          <w:rFonts w:cs="Times New Roman"/>
          <w:szCs w:val="24"/>
        </w:rPr>
        <w:t>Health Challenges – identifying spectrum of same-sex attraction / same-sex behavior</w:t>
      </w:r>
      <w:r w:rsidR="0085020D" w:rsidRPr="00AE5DDA">
        <w:rPr>
          <w:rFonts w:cs="Times New Roman"/>
          <w:szCs w:val="24"/>
        </w:rPr>
        <w:t>, feelings of identity and attraction are complicated, do not fit into traditional categories and/or change over time.</w:t>
      </w:r>
    </w:p>
    <w:p w14:paraId="727C9EBC" w14:textId="3B0DF2A2" w:rsidR="0085020D" w:rsidRPr="00AE5DDA" w:rsidRDefault="0085020D" w:rsidP="00FC1268">
      <w:pPr>
        <w:pStyle w:val="ListParagraph"/>
        <w:numPr>
          <w:ilvl w:val="2"/>
          <w:numId w:val="1"/>
        </w:numPr>
        <w:rPr>
          <w:rFonts w:cs="Times New Roman"/>
          <w:szCs w:val="24"/>
        </w:rPr>
      </w:pPr>
      <w:r w:rsidRPr="00AE5DDA">
        <w:rPr>
          <w:rFonts w:cs="Times New Roman"/>
          <w:szCs w:val="24"/>
        </w:rPr>
        <w:t>Risk Factors for Mental Health – misunderstood, overlooked and underrepresented in the health care system, worsening mental health from resulting prejudice, bias and discrimination within society</w:t>
      </w:r>
    </w:p>
    <w:p w14:paraId="2122140F" w14:textId="34F104AA" w:rsidR="0085020D" w:rsidRPr="00AE5DDA" w:rsidRDefault="0085020D" w:rsidP="00FC1268">
      <w:pPr>
        <w:pStyle w:val="ListParagraph"/>
        <w:numPr>
          <w:ilvl w:val="2"/>
          <w:numId w:val="1"/>
        </w:numPr>
        <w:rPr>
          <w:rFonts w:cs="Times New Roman"/>
          <w:szCs w:val="24"/>
        </w:rPr>
      </w:pPr>
      <w:r w:rsidRPr="00AE5DDA">
        <w:rPr>
          <w:rFonts w:cs="Times New Roman"/>
          <w:szCs w:val="24"/>
        </w:rPr>
        <w:t xml:space="preserve">Barriers to Mental Health </w:t>
      </w:r>
      <w:r w:rsidR="00D57095" w:rsidRPr="00AE5DDA">
        <w:rPr>
          <w:rFonts w:cs="Times New Roman"/>
          <w:szCs w:val="24"/>
        </w:rPr>
        <w:t>–</w:t>
      </w:r>
      <w:r w:rsidRPr="00AE5DDA">
        <w:rPr>
          <w:rFonts w:cs="Times New Roman"/>
          <w:szCs w:val="24"/>
        </w:rPr>
        <w:t xml:space="preserve"> </w:t>
      </w:r>
      <w:r w:rsidR="00D57095" w:rsidRPr="00AE5DDA">
        <w:rPr>
          <w:rFonts w:cs="Times New Roman"/>
          <w:szCs w:val="24"/>
        </w:rPr>
        <w:t>limited access to and use of health care services, internalized homonegativity and lack of health care expertise</w:t>
      </w:r>
    </w:p>
    <w:p w14:paraId="1D4CC1C1" w14:textId="093AEB5D" w:rsidR="00D57095" w:rsidRPr="00AE5DDA" w:rsidRDefault="00D57095" w:rsidP="00D57095">
      <w:pPr>
        <w:pStyle w:val="ListParagraph"/>
        <w:numPr>
          <w:ilvl w:val="1"/>
          <w:numId w:val="1"/>
        </w:numPr>
        <w:rPr>
          <w:rFonts w:cs="Times New Roman"/>
          <w:szCs w:val="24"/>
        </w:rPr>
      </w:pPr>
      <w:r w:rsidRPr="00AE5DDA">
        <w:rPr>
          <w:rFonts w:cs="Times New Roman"/>
          <w:szCs w:val="24"/>
        </w:rPr>
        <w:t>Other Minority Populations – Appalachian People</w:t>
      </w:r>
      <w:r w:rsidR="0066709D" w:rsidRPr="00AE5DDA">
        <w:rPr>
          <w:rStyle w:val="FootnoteReference"/>
          <w:rFonts w:cs="Times New Roman"/>
          <w:szCs w:val="24"/>
        </w:rPr>
        <w:footnoteReference w:id="12"/>
      </w:r>
      <w:r w:rsidRPr="00AE5DDA">
        <w:rPr>
          <w:rFonts w:cs="Times New Roman"/>
          <w:szCs w:val="24"/>
        </w:rPr>
        <w:t xml:space="preserve"> – </w:t>
      </w:r>
      <w:r w:rsidR="000E778D" w:rsidRPr="00AE5DDA">
        <w:rPr>
          <w:rFonts w:cs="Times New Roman"/>
          <w:szCs w:val="24"/>
        </w:rPr>
        <w:t xml:space="preserve">Appalachian Region </w:t>
      </w:r>
      <w:r w:rsidRPr="00AE5DDA">
        <w:rPr>
          <w:rFonts w:cs="Times New Roman"/>
          <w:szCs w:val="24"/>
        </w:rPr>
        <w:t>defined by the federal government</w:t>
      </w:r>
      <w:r w:rsidR="000E778D" w:rsidRPr="00AE5DDA">
        <w:rPr>
          <w:rFonts w:cs="Times New Roman"/>
          <w:szCs w:val="24"/>
        </w:rPr>
        <w:t xml:space="preserve"> as extending over 1000 miles from Mississippi in the south to New York state in the north, </w:t>
      </w:r>
    </w:p>
    <w:p w14:paraId="5225F4A5" w14:textId="2FEE66AB" w:rsidR="000E778D" w:rsidRPr="00AE5DDA" w:rsidRDefault="000E778D" w:rsidP="000E778D">
      <w:pPr>
        <w:pStyle w:val="ListParagraph"/>
        <w:numPr>
          <w:ilvl w:val="2"/>
          <w:numId w:val="1"/>
        </w:numPr>
        <w:rPr>
          <w:rFonts w:cs="Times New Roman"/>
          <w:szCs w:val="24"/>
        </w:rPr>
      </w:pPr>
      <w:r w:rsidRPr="00AE5DDA">
        <w:rPr>
          <w:rFonts w:cs="Times New Roman"/>
          <w:szCs w:val="24"/>
        </w:rPr>
        <w:t xml:space="preserve">Health Challenges </w:t>
      </w:r>
      <w:r w:rsidR="000A1ADE" w:rsidRPr="00AE5DDA">
        <w:rPr>
          <w:rFonts w:cs="Times New Roman"/>
          <w:szCs w:val="24"/>
        </w:rPr>
        <w:t>–</w:t>
      </w:r>
      <w:r w:rsidRPr="00AE5DDA">
        <w:rPr>
          <w:rFonts w:cs="Times New Roman"/>
          <w:szCs w:val="24"/>
        </w:rPr>
        <w:t xml:space="preserve"> </w:t>
      </w:r>
      <w:r w:rsidR="000A1ADE" w:rsidRPr="00AE5DDA">
        <w:rPr>
          <w:rFonts w:cs="Times New Roman"/>
          <w:szCs w:val="24"/>
        </w:rPr>
        <w:t xml:space="preserve">87% of the region has more than 150% of the US poverty rate, Cancer diagnoses 10% higher, COPD 27% higher, stroke 14% higher and diabetes is 11% higher than national rate, </w:t>
      </w:r>
    </w:p>
    <w:p w14:paraId="0555297E" w14:textId="5D7E290A" w:rsidR="000A1ADE" w:rsidRPr="00AE5DDA" w:rsidRDefault="000A1ADE" w:rsidP="000E778D">
      <w:pPr>
        <w:pStyle w:val="ListParagraph"/>
        <w:numPr>
          <w:ilvl w:val="2"/>
          <w:numId w:val="1"/>
        </w:numPr>
        <w:rPr>
          <w:rFonts w:cs="Times New Roman"/>
          <w:szCs w:val="24"/>
        </w:rPr>
      </w:pPr>
      <w:r w:rsidRPr="00AE5DDA">
        <w:rPr>
          <w:rFonts w:cs="Times New Roman"/>
          <w:szCs w:val="24"/>
        </w:rPr>
        <w:t xml:space="preserve">Risk Factors for Mental Health - suicide rate 17% higher than national average, Eastern KY has a poisoning mortality (including drug overdose) of 35.9/100,000 highest rate in Appalachia and double the national average, deliberate targeting of Appalachia by pharmaceutical companies </w:t>
      </w:r>
    </w:p>
    <w:p w14:paraId="0B1E37CF" w14:textId="64B9E731" w:rsidR="000A1ADE" w:rsidRPr="00AE5DDA" w:rsidRDefault="000A1ADE" w:rsidP="000E778D">
      <w:pPr>
        <w:pStyle w:val="ListParagraph"/>
        <w:numPr>
          <w:ilvl w:val="2"/>
          <w:numId w:val="1"/>
        </w:numPr>
        <w:rPr>
          <w:rFonts w:cs="Times New Roman"/>
          <w:szCs w:val="24"/>
        </w:rPr>
      </w:pPr>
      <w:r w:rsidRPr="00AE5DDA">
        <w:rPr>
          <w:rFonts w:cs="Times New Roman"/>
          <w:szCs w:val="24"/>
        </w:rPr>
        <w:t>Barriers to Mental Health – isolate</w:t>
      </w:r>
      <w:r w:rsidR="0078313E" w:rsidRPr="00AE5DDA">
        <w:rPr>
          <w:rFonts w:cs="Times New Roman"/>
          <w:szCs w:val="24"/>
        </w:rPr>
        <w:t>d</w:t>
      </w:r>
      <w:r w:rsidRPr="00AE5DDA">
        <w:rPr>
          <w:rFonts w:cs="Times New Roman"/>
          <w:szCs w:val="24"/>
        </w:rPr>
        <w:t>/mountainous terrain limit access to care</w:t>
      </w:r>
      <w:r w:rsidR="0078313E" w:rsidRPr="00AE5DDA">
        <w:rPr>
          <w:rFonts w:cs="Times New Roman"/>
          <w:szCs w:val="24"/>
        </w:rPr>
        <w:t>, lingering skepticism of outsiders extends to medical and mental health care, Appalachia has 35-50% fewer mental health care providers than the national average</w:t>
      </w:r>
    </w:p>
    <w:p w14:paraId="4AE72D93" w14:textId="095F9638" w:rsidR="0078313E" w:rsidRPr="00AE5DDA" w:rsidRDefault="0078313E" w:rsidP="0078313E">
      <w:pPr>
        <w:pStyle w:val="ListParagraph"/>
        <w:numPr>
          <w:ilvl w:val="1"/>
          <w:numId w:val="1"/>
        </w:numPr>
        <w:rPr>
          <w:rFonts w:cs="Times New Roman"/>
          <w:szCs w:val="24"/>
        </w:rPr>
      </w:pPr>
      <w:r w:rsidRPr="00AE5DDA">
        <w:rPr>
          <w:rFonts w:cs="Times New Roman"/>
          <w:szCs w:val="24"/>
        </w:rPr>
        <w:t>Other Minority Populations – Muslim Americans</w:t>
      </w:r>
      <w:r w:rsidR="0066709D" w:rsidRPr="00AE5DDA">
        <w:rPr>
          <w:rStyle w:val="FootnoteReference"/>
          <w:rFonts w:cs="Times New Roman"/>
          <w:szCs w:val="24"/>
        </w:rPr>
        <w:footnoteReference w:id="13"/>
      </w:r>
      <w:r w:rsidRPr="00AE5DDA">
        <w:rPr>
          <w:rFonts w:cs="Times New Roman"/>
          <w:szCs w:val="24"/>
        </w:rPr>
        <w:t xml:space="preserve"> – about 3.45 million living in the US</w:t>
      </w:r>
    </w:p>
    <w:p w14:paraId="467FF05C" w14:textId="07B07B83" w:rsidR="0078313E" w:rsidRPr="00AE5DDA" w:rsidRDefault="0078313E" w:rsidP="0078313E">
      <w:pPr>
        <w:pStyle w:val="ListParagraph"/>
        <w:numPr>
          <w:ilvl w:val="2"/>
          <w:numId w:val="1"/>
        </w:numPr>
        <w:rPr>
          <w:rFonts w:cs="Times New Roman"/>
          <w:szCs w:val="24"/>
        </w:rPr>
      </w:pPr>
      <w:r w:rsidRPr="00AE5DDA">
        <w:rPr>
          <w:rFonts w:cs="Times New Roman"/>
          <w:szCs w:val="24"/>
        </w:rPr>
        <w:t>Health Challenges – limited data on prevalence of psychiatric disorders, high rates of adjustment disorder within those seeking mental health services</w:t>
      </w:r>
    </w:p>
    <w:p w14:paraId="187F0B90" w14:textId="0525730F" w:rsidR="0078313E" w:rsidRPr="00AE5DDA" w:rsidRDefault="0078313E" w:rsidP="0078313E">
      <w:pPr>
        <w:pStyle w:val="ListParagraph"/>
        <w:numPr>
          <w:ilvl w:val="2"/>
          <w:numId w:val="1"/>
        </w:numPr>
        <w:rPr>
          <w:rFonts w:cs="Times New Roman"/>
          <w:szCs w:val="24"/>
        </w:rPr>
      </w:pPr>
      <w:r w:rsidRPr="00AE5DDA">
        <w:rPr>
          <w:rFonts w:cs="Times New Roman"/>
          <w:szCs w:val="24"/>
        </w:rPr>
        <w:t xml:space="preserve">Risk Factors for Mental Health – more likely than any other faith group to report low household income (&lt;$30,000.00), </w:t>
      </w:r>
      <w:r w:rsidR="004526C6" w:rsidRPr="00AE5DDA">
        <w:rPr>
          <w:rFonts w:cs="Times New Roman"/>
          <w:szCs w:val="24"/>
        </w:rPr>
        <w:t>Negative factors include: mental illness can be perceived as will of God or an opportunity to remedy disconnection from God, Positive Factors include: emphasis on personal hygiene and personal reflection, strong sense of community</w:t>
      </w:r>
    </w:p>
    <w:p w14:paraId="08BBB7C1" w14:textId="37703C2F" w:rsidR="004526C6" w:rsidRDefault="004526C6" w:rsidP="0078313E">
      <w:pPr>
        <w:pStyle w:val="ListParagraph"/>
        <w:numPr>
          <w:ilvl w:val="2"/>
          <w:numId w:val="1"/>
        </w:numPr>
        <w:rPr>
          <w:rFonts w:cs="Times New Roman"/>
          <w:szCs w:val="24"/>
        </w:rPr>
      </w:pPr>
      <w:r w:rsidRPr="00AE5DDA">
        <w:rPr>
          <w:rFonts w:cs="Times New Roman"/>
          <w:szCs w:val="24"/>
        </w:rPr>
        <w:t>Barriers to Mental Health – Islamophobia – 60% report some level of religious discrimination, nearly 1/3 of Muslim Americans experienced discrimination in a health care setting, need for more research</w:t>
      </w:r>
    </w:p>
    <w:p w14:paraId="16BF1D32" w14:textId="77777777" w:rsidR="00AE5DDA" w:rsidRPr="00AE5DDA" w:rsidRDefault="00AE5DDA" w:rsidP="00AE5DDA">
      <w:pPr>
        <w:pStyle w:val="ListParagraph"/>
        <w:ind w:left="1800"/>
        <w:rPr>
          <w:rFonts w:cs="Times New Roman"/>
          <w:szCs w:val="24"/>
        </w:rPr>
      </w:pPr>
    </w:p>
    <w:p w14:paraId="3CCFC6DB" w14:textId="3480B3FC" w:rsidR="00AE5DDA" w:rsidRPr="009122E8" w:rsidRDefault="004526C6" w:rsidP="00AE5DDA">
      <w:pPr>
        <w:pStyle w:val="ListParagraph"/>
        <w:numPr>
          <w:ilvl w:val="0"/>
          <w:numId w:val="1"/>
        </w:numPr>
        <w:rPr>
          <w:rFonts w:cs="Times New Roman"/>
          <w:b/>
          <w:szCs w:val="24"/>
        </w:rPr>
      </w:pPr>
      <w:r w:rsidRPr="00AE5DDA">
        <w:rPr>
          <w:rFonts w:cs="Times New Roman"/>
          <w:b/>
          <w:szCs w:val="24"/>
        </w:rPr>
        <w:t xml:space="preserve">Diversity and </w:t>
      </w:r>
      <w:r w:rsidR="00313248" w:rsidRPr="00AE5DDA">
        <w:rPr>
          <w:rFonts w:cs="Times New Roman"/>
          <w:b/>
          <w:szCs w:val="24"/>
        </w:rPr>
        <w:t>Well-Being in the Legal Community</w:t>
      </w:r>
    </w:p>
    <w:p w14:paraId="2BC84F01" w14:textId="40953FA3" w:rsidR="00313248" w:rsidRPr="00AE5DDA" w:rsidRDefault="00313248" w:rsidP="00313248">
      <w:pPr>
        <w:pStyle w:val="ListParagraph"/>
        <w:numPr>
          <w:ilvl w:val="1"/>
          <w:numId w:val="1"/>
        </w:numPr>
        <w:rPr>
          <w:rFonts w:cs="Times New Roman"/>
          <w:szCs w:val="24"/>
        </w:rPr>
      </w:pPr>
      <w:r w:rsidRPr="00AE5DDA">
        <w:rPr>
          <w:rFonts w:cs="Times New Roman"/>
          <w:szCs w:val="24"/>
        </w:rPr>
        <w:t>Diversity Lags Among Lawyers</w:t>
      </w:r>
      <w:r w:rsidR="00033260" w:rsidRPr="00AE5DDA">
        <w:rPr>
          <w:rStyle w:val="FootnoteReference"/>
          <w:rFonts w:cs="Times New Roman"/>
          <w:szCs w:val="24"/>
        </w:rPr>
        <w:footnoteReference w:id="14"/>
      </w:r>
      <w:r w:rsidR="0092480A" w:rsidRPr="00AE5DDA">
        <w:rPr>
          <w:rFonts w:cs="Times New Roman"/>
          <w:szCs w:val="24"/>
        </w:rPr>
        <w:t xml:space="preserve"> - </w:t>
      </w:r>
    </w:p>
    <w:p w14:paraId="10C0F8C9" w14:textId="4F2D82ED" w:rsidR="00313248" w:rsidRPr="00AE5DDA" w:rsidRDefault="00313248" w:rsidP="00313248">
      <w:pPr>
        <w:pStyle w:val="ListParagraph"/>
        <w:numPr>
          <w:ilvl w:val="2"/>
          <w:numId w:val="1"/>
        </w:numPr>
        <w:rPr>
          <w:rFonts w:cs="Times New Roman"/>
          <w:szCs w:val="24"/>
        </w:rPr>
      </w:pPr>
      <w:r w:rsidRPr="00AE5DDA">
        <w:rPr>
          <w:rFonts w:cs="Times New Roman"/>
          <w:szCs w:val="24"/>
        </w:rPr>
        <w:t>86% of lawyers are non-Hispanic white people</w:t>
      </w:r>
      <w:r w:rsidR="0092480A" w:rsidRPr="00AE5DDA">
        <w:rPr>
          <w:rFonts w:cs="Times New Roman"/>
          <w:szCs w:val="24"/>
        </w:rPr>
        <w:t xml:space="preserve">, compared to </w:t>
      </w:r>
      <w:r w:rsidRPr="00AE5DDA">
        <w:rPr>
          <w:rFonts w:cs="Times New Roman"/>
          <w:szCs w:val="24"/>
        </w:rPr>
        <w:t xml:space="preserve">60% of the US </w:t>
      </w:r>
      <w:r w:rsidR="0092480A" w:rsidRPr="00AE5DDA">
        <w:rPr>
          <w:rFonts w:cs="Times New Roman"/>
          <w:szCs w:val="24"/>
        </w:rPr>
        <w:t>population</w:t>
      </w:r>
    </w:p>
    <w:p w14:paraId="1C804E28" w14:textId="7C7238AE" w:rsidR="00313248" w:rsidRPr="00AE5DDA" w:rsidRDefault="0092480A" w:rsidP="00313248">
      <w:pPr>
        <w:pStyle w:val="ListParagraph"/>
        <w:numPr>
          <w:ilvl w:val="2"/>
          <w:numId w:val="1"/>
        </w:numPr>
        <w:rPr>
          <w:rFonts w:cs="Times New Roman"/>
          <w:szCs w:val="24"/>
        </w:rPr>
      </w:pPr>
      <w:r w:rsidRPr="00AE5DDA">
        <w:rPr>
          <w:rFonts w:cs="Times New Roman"/>
          <w:szCs w:val="24"/>
        </w:rPr>
        <w:t>Percentage of female lawyers has increased from 31% to 37% (2010 – 2020)</w:t>
      </w:r>
      <w:r w:rsidR="007806DF" w:rsidRPr="00AE5DDA">
        <w:rPr>
          <w:rFonts w:cs="Times New Roman"/>
          <w:szCs w:val="24"/>
        </w:rPr>
        <w:t>, Female equity partners @ 21% in 2019, up from</w:t>
      </w:r>
      <w:r w:rsidR="009D2E51" w:rsidRPr="00AE5DDA">
        <w:rPr>
          <w:rFonts w:cs="Times New Roman"/>
          <w:szCs w:val="24"/>
        </w:rPr>
        <w:t xml:space="preserve"> 15% in 2012.</w:t>
      </w:r>
    </w:p>
    <w:p w14:paraId="5F5111F5" w14:textId="7B6F9B09" w:rsidR="0092480A" w:rsidRPr="00AE5DDA" w:rsidRDefault="0092480A" w:rsidP="00313248">
      <w:pPr>
        <w:pStyle w:val="ListParagraph"/>
        <w:numPr>
          <w:ilvl w:val="2"/>
          <w:numId w:val="1"/>
        </w:numPr>
        <w:rPr>
          <w:rFonts w:cs="Times New Roman"/>
          <w:szCs w:val="24"/>
        </w:rPr>
      </w:pPr>
      <w:r w:rsidRPr="00AE5DDA">
        <w:rPr>
          <w:rFonts w:cs="Times New Roman"/>
          <w:szCs w:val="24"/>
        </w:rPr>
        <w:t xml:space="preserve">Gains among people of color </w:t>
      </w:r>
      <w:r w:rsidR="007806DF" w:rsidRPr="00AE5DDA">
        <w:rPr>
          <w:rFonts w:cs="Times New Roman"/>
          <w:szCs w:val="24"/>
        </w:rPr>
        <w:t xml:space="preserve">and other minorities </w:t>
      </w:r>
      <w:r w:rsidRPr="00AE5DDA">
        <w:rPr>
          <w:rFonts w:cs="Times New Roman"/>
          <w:szCs w:val="24"/>
        </w:rPr>
        <w:t xml:space="preserve">are minimal: </w:t>
      </w:r>
    </w:p>
    <w:p w14:paraId="516317B3" w14:textId="37855059" w:rsidR="0092480A" w:rsidRPr="00AE5DDA" w:rsidRDefault="0092480A" w:rsidP="0092480A">
      <w:pPr>
        <w:pStyle w:val="ListParagraph"/>
        <w:numPr>
          <w:ilvl w:val="3"/>
          <w:numId w:val="1"/>
        </w:numPr>
        <w:rPr>
          <w:rFonts w:cs="Times New Roman"/>
          <w:szCs w:val="24"/>
        </w:rPr>
      </w:pPr>
      <w:r w:rsidRPr="00AE5DDA">
        <w:rPr>
          <w:rFonts w:cs="Times New Roman"/>
          <w:szCs w:val="24"/>
        </w:rPr>
        <w:t>5% are black (same as 10 years ago), while 13.4% of US population is black.</w:t>
      </w:r>
    </w:p>
    <w:p w14:paraId="10683409" w14:textId="5505A4D0" w:rsidR="0092480A" w:rsidRPr="00AE5DDA" w:rsidRDefault="0092480A" w:rsidP="0092480A">
      <w:pPr>
        <w:pStyle w:val="ListParagraph"/>
        <w:numPr>
          <w:ilvl w:val="3"/>
          <w:numId w:val="1"/>
        </w:numPr>
        <w:rPr>
          <w:rFonts w:cs="Times New Roman"/>
          <w:szCs w:val="24"/>
        </w:rPr>
      </w:pPr>
      <w:r w:rsidRPr="00AE5DDA">
        <w:rPr>
          <w:rFonts w:cs="Times New Roman"/>
          <w:szCs w:val="24"/>
        </w:rPr>
        <w:t>5% are Hispanic (up from 4% 10 years ago), while</w:t>
      </w:r>
      <w:r w:rsidR="007806DF" w:rsidRPr="00AE5DDA">
        <w:rPr>
          <w:rFonts w:cs="Times New Roman"/>
          <w:szCs w:val="24"/>
        </w:rPr>
        <w:t xml:space="preserve"> 18.5% of US population is Hispanic</w:t>
      </w:r>
    </w:p>
    <w:p w14:paraId="5490A0E5" w14:textId="1A73851D" w:rsidR="007806DF" w:rsidRPr="00AE5DDA" w:rsidRDefault="007806DF" w:rsidP="0092480A">
      <w:pPr>
        <w:pStyle w:val="ListParagraph"/>
        <w:numPr>
          <w:ilvl w:val="3"/>
          <w:numId w:val="1"/>
        </w:numPr>
        <w:rPr>
          <w:rFonts w:cs="Times New Roman"/>
          <w:szCs w:val="24"/>
        </w:rPr>
      </w:pPr>
      <w:r w:rsidRPr="00AE5DDA">
        <w:rPr>
          <w:rFonts w:cs="Times New Roman"/>
          <w:szCs w:val="24"/>
        </w:rPr>
        <w:t>2% of all lawyers are Asian (up from 0.4% 10 years ago), while 6% of US population is Asian</w:t>
      </w:r>
    </w:p>
    <w:p w14:paraId="5CC67489" w14:textId="34CFBA52" w:rsidR="007806DF" w:rsidRPr="00AE5DDA" w:rsidRDefault="007806DF" w:rsidP="0092480A">
      <w:pPr>
        <w:pStyle w:val="ListParagraph"/>
        <w:numPr>
          <w:ilvl w:val="3"/>
          <w:numId w:val="1"/>
        </w:numPr>
        <w:rPr>
          <w:rFonts w:cs="Times New Roman"/>
          <w:szCs w:val="24"/>
        </w:rPr>
      </w:pPr>
      <w:r w:rsidRPr="00AE5DDA">
        <w:rPr>
          <w:rFonts w:cs="Times New Roman"/>
          <w:szCs w:val="24"/>
        </w:rPr>
        <w:t>Native Americans are represented proportionally to their presence in the general population: 0.4% of lawyers are Native American compared to 0.7% 10 years ago</w:t>
      </w:r>
    </w:p>
    <w:p w14:paraId="202BA020" w14:textId="75CBC771" w:rsidR="007806DF" w:rsidRPr="00AE5DDA" w:rsidRDefault="007806DF" w:rsidP="0092480A">
      <w:pPr>
        <w:pStyle w:val="ListParagraph"/>
        <w:numPr>
          <w:ilvl w:val="3"/>
          <w:numId w:val="1"/>
        </w:numPr>
        <w:rPr>
          <w:rFonts w:cs="Times New Roman"/>
          <w:szCs w:val="24"/>
        </w:rPr>
      </w:pPr>
      <w:r w:rsidRPr="00AE5DDA">
        <w:rPr>
          <w:rFonts w:cs="Times New Roman"/>
          <w:szCs w:val="24"/>
        </w:rPr>
        <w:t>LGBT lawyers represent 3% up from 2.5% three years earlier</w:t>
      </w:r>
    </w:p>
    <w:p w14:paraId="25AF29D9" w14:textId="44F553F6" w:rsidR="007806DF" w:rsidRPr="00AE5DDA" w:rsidRDefault="007806DF" w:rsidP="0092480A">
      <w:pPr>
        <w:pStyle w:val="ListParagraph"/>
        <w:numPr>
          <w:ilvl w:val="3"/>
          <w:numId w:val="1"/>
        </w:numPr>
        <w:rPr>
          <w:rFonts w:cs="Times New Roman"/>
          <w:szCs w:val="24"/>
        </w:rPr>
      </w:pPr>
      <w:r w:rsidRPr="00AE5DDA">
        <w:rPr>
          <w:rFonts w:cs="Times New Roman"/>
          <w:szCs w:val="24"/>
        </w:rPr>
        <w:t>Physically Disabled lawyers represent 0.5% of the profession (twice the representation 10 years ago)</w:t>
      </w:r>
    </w:p>
    <w:p w14:paraId="12A2DBD0" w14:textId="3CCAE7FA" w:rsidR="009D2E51" w:rsidRPr="00AE5DDA" w:rsidRDefault="009D2E51" w:rsidP="009D2E51">
      <w:pPr>
        <w:pStyle w:val="ListParagraph"/>
        <w:numPr>
          <w:ilvl w:val="1"/>
          <w:numId w:val="1"/>
        </w:numPr>
        <w:rPr>
          <w:rFonts w:cs="Times New Roman"/>
          <w:szCs w:val="24"/>
        </w:rPr>
      </w:pPr>
      <w:r w:rsidRPr="00AE5DDA">
        <w:rPr>
          <w:rFonts w:cs="Times New Roman"/>
          <w:szCs w:val="24"/>
        </w:rPr>
        <w:t>Well-Being</w:t>
      </w:r>
      <w:r w:rsidR="00591636" w:rsidRPr="00AE5DDA">
        <w:rPr>
          <w:rFonts w:cs="Times New Roman"/>
          <w:szCs w:val="24"/>
        </w:rPr>
        <w:t xml:space="preserve"> Struggle for Attorneys</w:t>
      </w:r>
      <w:r w:rsidR="00033260" w:rsidRPr="00AE5DDA">
        <w:rPr>
          <w:rStyle w:val="FootnoteReference"/>
          <w:rFonts w:cs="Times New Roman"/>
          <w:szCs w:val="24"/>
        </w:rPr>
        <w:footnoteReference w:id="15"/>
      </w:r>
    </w:p>
    <w:p w14:paraId="06E728E5" w14:textId="5DCA8130" w:rsidR="00C70159" w:rsidRPr="00AE5DDA" w:rsidRDefault="00C70159" w:rsidP="00C70159">
      <w:pPr>
        <w:pStyle w:val="ListParagraph"/>
        <w:numPr>
          <w:ilvl w:val="2"/>
          <w:numId w:val="1"/>
        </w:numPr>
        <w:rPr>
          <w:rFonts w:cs="Times New Roman"/>
          <w:szCs w:val="24"/>
        </w:rPr>
      </w:pPr>
      <w:r w:rsidRPr="00AE5DDA">
        <w:rPr>
          <w:rFonts w:cs="Times New Roman"/>
          <w:szCs w:val="24"/>
        </w:rPr>
        <w:t>Well-Being: continuous process whereby lawyers seek to thrive</w:t>
      </w:r>
      <w:r w:rsidR="00033260" w:rsidRPr="00AE5DDA">
        <w:rPr>
          <w:rFonts w:cs="Times New Roman"/>
          <w:szCs w:val="24"/>
        </w:rPr>
        <w:t xml:space="preserve"> </w:t>
      </w:r>
      <w:r w:rsidRPr="00AE5DDA">
        <w:rPr>
          <w:rFonts w:cs="Times New Roman"/>
          <w:szCs w:val="24"/>
        </w:rPr>
        <w:t>in these areas: emotional health, occupational pursuits, creative or intellectual endeavors, sense of spirituality or greater purpose in life, physical health and social connection with others.</w:t>
      </w:r>
    </w:p>
    <w:p w14:paraId="5F4FCD65" w14:textId="506CE1C9" w:rsidR="00591636" w:rsidRPr="00AE5DDA" w:rsidRDefault="00591636" w:rsidP="00591636">
      <w:pPr>
        <w:pStyle w:val="ListParagraph"/>
        <w:numPr>
          <w:ilvl w:val="2"/>
          <w:numId w:val="1"/>
        </w:numPr>
        <w:rPr>
          <w:rFonts w:cs="Times New Roman"/>
          <w:szCs w:val="24"/>
        </w:rPr>
      </w:pPr>
      <w:r w:rsidRPr="00AE5DDA">
        <w:rPr>
          <w:rFonts w:cs="Times New Roman"/>
          <w:szCs w:val="24"/>
        </w:rPr>
        <w:t xml:space="preserve">Stats – Between 21 and 36% of lawyers qualify as problem drinkers, </w:t>
      </w:r>
      <w:r w:rsidR="00422B28" w:rsidRPr="00AE5DDA">
        <w:rPr>
          <w:rFonts w:cs="Times New Roman"/>
          <w:szCs w:val="24"/>
        </w:rPr>
        <w:t>28% struggle with depression, 19% with anxiety and 23% with stress.  Younger lawyers in private firms experience the highest rates of problem drinking and depression.  In young lawyers, 17% experienced depression, 14% severe anxiety, 23% mild or moderate anxiety and 6% suicidal thoughts; 43% report binge drinking in previous two weeks, 22% reported 2 or more times in that period and 25% fell into a category at risk for alcoholism.</w:t>
      </w:r>
    </w:p>
    <w:p w14:paraId="7C1EC37E" w14:textId="723077AB" w:rsidR="00422B28" w:rsidRPr="00AE5DDA" w:rsidRDefault="00422B28" w:rsidP="00591636">
      <w:pPr>
        <w:pStyle w:val="ListParagraph"/>
        <w:numPr>
          <w:ilvl w:val="2"/>
          <w:numId w:val="1"/>
        </w:numPr>
        <w:rPr>
          <w:rFonts w:cs="Times New Roman"/>
          <w:szCs w:val="24"/>
        </w:rPr>
      </w:pPr>
      <w:r w:rsidRPr="00AE5DDA">
        <w:rPr>
          <w:rFonts w:cs="Times New Roman"/>
          <w:szCs w:val="24"/>
        </w:rPr>
        <w:t xml:space="preserve">Pandemic </w:t>
      </w:r>
      <w:r w:rsidR="00083F32" w:rsidRPr="00AE5DDA">
        <w:rPr>
          <w:rFonts w:cs="Times New Roman"/>
          <w:szCs w:val="24"/>
        </w:rPr>
        <w:t>Effect on Well-Being</w:t>
      </w:r>
    </w:p>
    <w:p w14:paraId="486BBCAD" w14:textId="73AE7EAA" w:rsidR="00083F32" w:rsidRPr="00AE5DDA" w:rsidRDefault="00083F32" w:rsidP="00083F32">
      <w:pPr>
        <w:pStyle w:val="ListParagraph"/>
        <w:numPr>
          <w:ilvl w:val="3"/>
          <w:numId w:val="1"/>
        </w:numPr>
        <w:rPr>
          <w:rFonts w:cs="Times New Roman"/>
          <w:szCs w:val="24"/>
        </w:rPr>
      </w:pPr>
      <w:r w:rsidRPr="00AE5DDA">
        <w:rPr>
          <w:rFonts w:cs="Times New Roman"/>
          <w:szCs w:val="24"/>
        </w:rPr>
        <w:t>COVID-19 has a significant effect on all segments of legal profession: age, gender, race/ethnicity, seniority and practice setting</w:t>
      </w:r>
    </w:p>
    <w:p w14:paraId="78D7E50C" w14:textId="5AA6550B" w:rsidR="00083F32" w:rsidRPr="00AE5DDA" w:rsidRDefault="00083F32" w:rsidP="00083F32">
      <w:pPr>
        <w:pStyle w:val="ListParagraph"/>
        <w:numPr>
          <w:ilvl w:val="3"/>
          <w:numId w:val="1"/>
        </w:numPr>
        <w:rPr>
          <w:rFonts w:cs="Times New Roman"/>
          <w:szCs w:val="24"/>
        </w:rPr>
      </w:pPr>
      <w:r w:rsidRPr="00AE5DDA">
        <w:rPr>
          <w:rFonts w:cs="Times New Roman"/>
          <w:szCs w:val="24"/>
        </w:rPr>
        <w:t>Lawyers, especially those with children, are overwhelmed – much higher levels of stress, disengagement with social aspects of work, frequently questioning whether employment as a lawyer is worth it.</w:t>
      </w:r>
    </w:p>
    <w:p w14:paraId="44A463D9" w14:textId="0B267F4F" w:rsidR="00D2763C" w:rsidRPr="00AE5DDA" w:rsidRDefault="00083F32" w:rsidP="00083F32">
      <w:pPr>
        <w:pStyle w:val="ListParagraph"/>
        <w:numPr>
          <w:ilvl w:val="3"/>
          <w:numId w:val="1"/>
        </w:numPr>
        <w:rPr>
          <w:rFonts w:cs="Times New Roman"/>
          <w:szCs w:val="24"/>
        </w:rPr>
      </w:pPr>
      <w:r w:rsidRPr="00AE5DDA">
        <w:rPr>
          <w:rFonts w:cs="Times New Roman"/>
          <w:szCs w:val="24"/>
        </w:rPr>
        <w:t xml:space="preserve">Greater impact upon minorities: higher levels of stress at work, greater difficulty in taking time off from work, harder to keep </w:t>
      </w:r>
      <w:r w:rsidR="00D2763C" w:rsidRPr="00AE5DDA">
        <w:rPr>
          <w:rFonts w:cs="Times New Roman"/>
          <w:szCs w:val="24"/>
        </w:rPr>
        <w:t>work</w:t>
      </w:r>
      <w:r w:rsidRPr="00AE5DDA">
        <w:rPr>
          <w:rFonts w:cs="Times New Roman"/>
          <w:szCs w:val="24"/>
        </w:rPr>
        <w:t xml:space="preserve"> and home life </w:t>
      </w:r>
      <w:r w:rsidR="00D2763C" w:rsidRPr="00AE5DDA">
        <w:rPr>
          <w:rFonts w:cs="Times New Roman"/>
          <w:szCs w:val="24"/>
        </w:rPr>
        <w:t xml:space="preserve">separate. </w:t>
      </w:r>
    </w:p>
    <w:p w14:paraId="3A19772A" w14:textId="083E46B5" w:rsidR="00083F32" w:rsidRPr="00AE5DDA" w:rsidRDefault="00D2763C" w:rsidP="00083F32">
      <w:pPr>
        <w:pStyle w:val="ListParagraph"/>
        <w:numPr>
          <w:ilvl w:val="3"/>
          <w:numId w:val="1"/>
        </w:numPr>
        <w:rPr>
          <w:rFonts w:cs="Times New Roman"/>
          <w:szCs w:val="24"/>
        </w:rPr>
      </w:pPr>
      <w:r w:rsidRPr="00AE5DDA">
        <w:rPr>
          <w:rFonts w:cs="Times New Roman"/>
          <w:szCs w:val="24"/>
        </w:rPr>
        <w:t>Greater Impact Among Women:</w:t>
      </w:r>
      <w:r w:rsidR="00083F32" w:rsidRPr="00AE5DDA">
        <w:rPr>
          <w:rFonts w:cs="Times New Roman"/>
          <w:szCs w:val="24"/>
        </w:rPr>
        <w:t xml:space="preserve"> </w:t>
      </w:r>
      <w:r w:rsidRPr="00AE5DDA">
        <w:rPr>
          <w:rFonts w:cs="Times New Roman"/>
          <w:szCs w:val="24"/>
        </w:rPr>
        <w:t xml:space="preserve">greater disruption in work than men, greater proportion feel overwhelmed, greater pressure to care for children, </w:t>
      </w:r>
    </w:p>
    <w:p w14:paraId="582B4679" w14:textId="26D9F614" w:rsidR="00D2763C" w:rsidRPr="00AE5DDA" w:rsidRDefault="00D2763C" w:rsidP="00083F32">
      <w:pPr>
        <w:pStyle w:val="ListParagraph"/>
        <w:numPr>
          <w:ilvl w:val="3"/>
          <w:numId w:val="1"/>
        </w:numPr>
        <w:rPr>
          <w:rFonts w:cs="Times New Roman"/>
          <w:szCs w:val="24"/>
        </w:rPr>
      </w:pPr>
      <w:r w:rsidRPr="00AE5DDA">
        <w:rPr>
          <w:rFonts w:cs="Times New Roman"/>
          <w:szCs w:val="24"/>
        </w:rPr>
        <w:t>Regardless of increased obligations because of COVID, levels of work have not decreased: 80% continued to have full-time workload</w:t>
      </w:r>
    </w:p>
    <w:p w14:paraId="12C236E2" w14:textId="0562DC11" w:rsidR="00D2763C" w:rsidRPr="00AE5DDA" w:rsidRDefault="00C70159" w:rsidP="001774BD">
      <w:pPr>
        <w:pStyle w:val="ListParagraph"/>
        <w:keepNext/>
        <w:numPr>
          <w:ilvl w:val="1"/>
          <w:numId w:val="1"/>
        </w:numPr>
        <w:rPr>
          <w:rFonts w:cs="Times New Roman"/>
          <w:szCs w:val="24"/>
        </w:rPr>
      </w:pPr>
      <w:r w:rsidRPr="00AE5DDA">
        <w:rPr>
          <w:rFonts w:cs="Times New Roman"/>
          <w:szCs w:val="24"/>
        </w:rPr>
        <w:t xml:space="preserve">Why </w:t>
      </w:r>
      <w:r w:rsidR="00742A9B" w:rsidRPr="00AE5DDA">
        <w:rPr>
          <w:rFonts w:cs="Times New Roman"/>
          <w:szCs w:val="24"/>
        </w:rPr>
        <w:t>Well-Being</w:t>
      </w:r>
      <w:r w:rsidRPr="00AE5DDA">
        <w:rPr>
          <w:rFonts w:cs="Times New Roman"/>
          <w:szCs w:val="24"/>
        </w:rPr>
        <w:t xml:space="preserve"> Matters:</w:t>
      </w:r>
    </w:p>
    <w:p w14:paraId="2D40F7F1" w14:textId="758AFDED" w:rsidR="00C70159" w:rsidRPr="00AE5DDA" w:rsidRDefault="00C70159" w:rsidP="00C70159">
      <w:pPr>
        <w:pStyle w:val="ListParagraph"/>
        <w:numPr>
          <w:ilvl w:val="2"/>
          <w:numId w:val="1"/>
        </w:numPr>
        <w:rPr>
          <w:rFonts w:cs="Times New Roman"/>
          <w:szCs w:val="24"/>
        </w:rPr>
      </w:pPr>
      <w:r w:rsidRPr="00AE5DDA">
        <w:rPr>
          <w:rFonts w:cs="Times New Roman"/>
          <w:szCs w:val="24"/>
        </w:rPr>
        <w:t>Good for Business: well-being linked to many organizational successes – lower turnover, higher client satisfaction, higher productivity and profitability</w:t>
      </w:r>
    </w:p>
    <w:p w14:paraId="703C7431" w14:textId="765E0732" w:rsidR="00C70159" w:rsidRPr="00AE5DDA" w:rsidRDefault="00C70159" w:rsidP="00C70159">
      <w:pPr>
        <w:pStyle w:val="ListParagraph"/>
        <w:numPr>
          <w:ilvl w:val="2"/>
          <w:numId w:val="1"/>
        </w:numPr>
        <w:rPr>
          <w:rFonts w:cs="Times New Roman"/>
          <w:szCs w:val="24"/>
        </w:rPr>
      </w:pPr>
      <w:r w:rsidRPr="00AE5DDA">
        <w:rPr>
          <w:rFonts w:cs="Times New Roman"/>
          <w:szCs w:val="24"/>
        </w:rPr>
        <w:t>Good for Clients – well-being influences ethics and professionalism, troubled lawyers can struggle with minimal competence 40-70% of disciplinary/malpractice proceedings involve substance abuse, depression, or both.</w:t>
      </w:r>
    </w:p>
    <w:p w14:paraId="1046EFBE" w14:textId="2D317F2E" w:rsidR="00C70159" w:rsidRPr="00AE5DDA" w:rsidRDefault="00C70159" w:rsidP="00C70159">
      <w:pPr>
        <w:pStyle w:val="ListParagraph"/>
        <w:numPr>
          <w:ilvl w:val="2"/>
          <w:numId w:val="1"/>
        </w:numPr>
        <w:rPr>
          <w:rFonts w:cs="Times New Roman"/>
          <w:szCs w:val="24"/>
        </w:rPr>
      </w:pPr>
      <w:r w:rsidRPr="00AE5DDA">
        <w:rPr>
          <w:rFonts w:cs="Times New Roman"/>
          <w:szCs w:val="24"/>
        </w:rPr>
        <w:t>The Right Thing to Do – untreated mental health and substance use disorders ruin lives and careers, well-being is part of the ethical duty to practice with competence</w:t>
      </w:r>
      <w:r w:rsidR="00742A9B" w:rsidRPr="00AE5DDA">
        <w:rPr>
          <w:rFonts w:cs="Times New Roman"/>
          <w:szCs w:val="24"/>
        </w:rPr>
        <w:t>, it includes the ability to make healthy/positive work/life choices, it is not solely the absence of illness, but also a positive state of wellness</w:t>
      </w:r>
    </w:p>
    <w:p w14:paraId="5EE8E332" w14:textId="68FEB301" w:rsidR="00742A9B" w:rsidRPr="00AE5DDA" w:rsidRDefault="00742A9B" w:rsidP="00742A9B">
      <w:pPr>
        <w:pStyle w:val="ListParagraph"/>
        <w:numPr>
          <w:ilvl w:val="1"/>
          <w:numId w:val="1"/>
        </w:numPr>
        <w:rPr>
          <w:rFonts w:cs="Times New Roman"/>
          <w:szCs w:val="24"/>
        </w:rPr>
      </w:pPr>
      <w:r w:rsidRPr="00AE5DDA">
        <w:rPr>
          <w:rFonts w:cs="Times New Roman"/>
          <w:szCs w:val="24"/>
        </w:rPr>
        <w:t>Why Diversity Matters</w:t>
      </w:r>
      <w:r w:rsidR="009F3C60" w:rsidRPr="00AE5DDA">
        <w:rPr>
          <w:rStyle w:val="FootnoteReference"/>
          <w:rFonts w:cs="Times New Roman"/>
          <w:szCs w:val="24"/>
        </w:rPr>
        <w:footnoteReference w:id="16"/>
      </w:r>
    </w:p>
    <w:p w14:paraId="5AE242E3" w14:textId="6DF686AA" w:rsidR="00742A9B" w:rsidRPr="00AE5DDA" w:rsidRDefault="00742A9B" w:rsidP="00C11A71">
      <w:pPr>
        <w:pStyle w:val="ListParagraph"/>
        <w:numPr>
          <w:ilvl w:val="2"/>
          <w:numId w:val="1"/>
        </w:numPr>
        <w:rPr>
          <w:rFonts w:cs="Times New Roman"/>
          <w:szCs w:val="24"/>
        </w:rPr>
      </w:pPr>
      <w:r w:rsidRPr="00AE5DDA">
        <w:rPr>
          <w:rFonts w:cs="Times New Roman"/>
          <w:szCs w:val="24"/>
        </w:rPr>
        <w:t xml:space="preserve">Diversity is a key driver of innovation – multiple and varied employees have a wide range of experiences helping to generate new ideas and provide </w:t>
      </w:r>
      <w:r w:rsidR="00C11A71" w:rsidRPr="00AE5DDA">
        <w:rPr>
          <w:rFonts w:cs="Times New Roman"/>
          <w:szCs w:val="24"/>
        </w:rPr>
        <w:t>valuable</w:t>
      </w:r>
      <w:r w:rsidRPr="00AE5DDA">
        <w:rPr>
          <w:rFonts w:cs="Times New Roman"/>
          <w:szCs w:val="24"/>
        </w:rPr>
        <w:t xml:space="preserve"> </w:t>
      </w:r>
      <w:r w:rsidR="00C11A71" w:rsidRPr="00AE5DDA">
        <w:rPr>
          <w:rFonts w:cs="Times New Roman"/>
          <w:szCs w:val="24"/>
        </w:rPr>
        <w:t>insight into the markets they reflect</w:t>
      </w:r>
    </w:p>
    <w:p w14:paraId="25990CC3" w14:textId="021410B5" w:rsidR="00C11A71" w:rsidRPr="00AE5DDA" w:rsidRDefault="00C11A71" w:rsidP="00C11A71">
      <w:pPr>
        <w:pStyle w:val="ListParagraph"/>
        <w:numPr>
          <w:ilvl w:val="2"/>
          <w:numId w:val="1"/>
        </w:numPr>
        <w:rPr>
          <w:rFonts w:cs="Times New Roman"/>
          <w:szCs w:val="24"/>
        </w:rPr>
      </w:pPr>
      <w:r w:rsidRPr="00AE5DDA">
        <w:rPr>
          <w:rFonts w:cs="Times New Roman"/>
          <w:szCs w:val="24"/>
        </w:rPr>
        <w:t>Diverse Workforce Attracts Top Talent: to attract the best talent, a company needs to be reflective of that talent in the market, ability to attract best talent also depends upon solid job advancement opportunities for that talent</w:t>
      </w:r>
    </w:p>
    <w:p w14:paraId="56D1A1CE" w14:textId="3F6FF157" w:rsidR="00C11A71" w:rsidRDefault="00C11A71" w:rsidP="00C11A71">
      <w:pPr>
        <w:pStyle w:val="ListParagraph"/>
        <w:numPr>
          <w:ilvl w:val="2"/>
          <w:numId w:val="1"/>
        </w:numPr>
        <w:rPr>
          <w:rFonts w:cs="Times New Roman"/>
          <w:szCs w:val="24"/>
        </w:rPr>
      </w:pPr>
      <w:r w:rsidRPr="00AE5DDA">
        <w:rPr>
          <w:rFonts w:cs="Times New Roman"/>
          <w:szCs w:val="24"/>
        </w:rPr>
        <w:t>Diversity/Inclusion is not just about gender and race: many contemporary companies are seeking/maintaining diversity in areas of disability/sexual orientation/and age</w:t>
      </w:r>
    </w:p>
    <w:p w14:paraId="0A0C992D" w14:textId="77777777" w:rsidR="00AE5DDA" w:rsidRPr="00AE5DDA" w:rsidRDefault="00AE5DDA" w:rsidP="00AE5DDA">
      <w:pPr>
        <w:pStyle w:val="ListParagraph"/>
        <w:ind w:left="1800"/>
        <w:rPr>
          <w:rFonts w:cs="Times New Roman"/>
          <w:szCs w:val="24"/>
        </w:rPr>
      </w:pPr>
    </w:p>
    <w:p w14:paraId="205D101E" w14:textId="165180F0" w:rsidR="00AE5DDA" w:rsidRPr="009122E8" w:rsidRDefault="00B0618B" w:rsidP="00AE5DDA">
      <w:pPr>
        <w:pStyle w:val="ListParagraph"/>
        <w:keepNext/>
        <w:numPr>
          <w:ilvl w:val="0"/>
          <w:numId w:val="1"/>
        </w:numPr>
        <w:rPr>
          <w:rFonts w:cs="Times New Roman"/>
          <w:b/>
          <w:szCs w:val="24"/>
        </w:rPr>
      </w:pPr>
      <w:r w:rsidRPr="00AE5DDA">
        <w:rPr>
          <w:rFonts w:cs="Times New Roman"/>
          <w:b/>
          <w:szCs w:val="24"/>
        </w:rPr>
        <w:t>Recommendations</w:t>
      </w:r>
      <w:r w:rsidR="009F3C60" w:rsidRPr="00AE5DDA">
        <w:rPr>
          <w:rStyle w:val="FootnoteReference"/>
          <w:rFonts w:cs="Times New Roman"/>
          <w:b/>
          <w:szCs w:val="24"/>
        </w:rPr>
        <w:footnoteReference w:id="17"/>
      </w:r>
      <w:bookmarkStart w:id="2" w:name="_GoBack"/>
      <w:bookmarkEnd w:id="2"/>
    </w:p>
    <w:p w14:paraId="229E3C38" w14:textId="16A60E3B" w:rsidR="00B0618B" w:rsidRPr="00AE5DDA" w:rsidRDefault="00B0618B" w:rsidP="00AE5DDA">
      <w:pPr>
        <w:pStyle w:val="ListParagraph"/>
        <w:keepNext/>
        <w:numPr>
          <w:ilvl w:val="1"/>
          <w:numId w:val="1"/>
        </w:numPr>
        <w:rPr>
          <w:rFonts w:cs="Times New Roman"/>
          <w:szCs w:val="24"/>
        </w:rPr>
      </w:pPr>
      <w:r w:rsidRPr="00AE5DDA">
        <w:rPr>
          <w:rFonts w:cs="Times New Roman"/>
          <w:szCs w:val="24"/>
        </w:rPr>
        <w:t>Acknowledge the Problems and Take Responsibility:</w:t>
      </w:r>
    </w:p>
    <w:p w14:paraId="7B7CB776" w14:textId="3E082887" w:rsidR="00B0618B" w:rsidRPr="00AE5DDA" w:rsidRDefault="00B0618B" w:rsidP="00B0618B">
      <w:pPr>
        <w:pStyle w:val="ListParagraph"/>
        <w:numPr>
          <w:ilvl w:val="2"/>
          <w:numId w:val="1"/>
        </w:numPr>
        <w:rPr>
          <w:rFonts w:cs="Times New Roman"/>
          <w:szCs w:val="24"/>
        </w:rPr>
      </w:pPr>
      <w:r w:rsidRPr="00AE5DDA">
        <w:rPr>
          <w:rFonts w:cs="Times New Roman"/>
          <w:szCs w:val="24"/>
        </w:rPr>
        <w:t>Every sector of the legal profession must support lawyer well-being</w:t>
      </w:r>
    </w:p>
    <w:p w14:paraId="5A079B02" w14:textId="2D060EA8" w:rsidR="00B0618B" w:rsidRPr="00AE5DDA" w:rsidRDefault="00B0618B" w:rsidP="00B0618B">
      <w:pPr>
        <w:pStyle w:val="ListParagraph"/>
        <w:numPr>
          <w:ilvl w:val="2"/>
          <w:numId w:val="1"/>
        </w:numPr>
        <w:rPr>
          <w:rFonts w:cs="Times New Roman"/>
          <w:szCs w:val="24"/>
        </w:rPr>
      </w:pPr>
      <w:r w:rsidRPr="00AE5DDA">
        <w:rPr>
          <w:rFonts w:cs="Times New Roman"/>
          <w:szCs w:val="24"/>
        </w:rPr>
        <w:t>Each lawyer should strive to change the profession’s mindset from passive denial to active support for change.</w:t>
      </w:r>
    </w:p>
    <w:p w14:paraId="5C6CFF92" w14:textId="42B476A3" w:rsidR="00B0618B" w:rsidRPr="00AE5DDA" w:rsidRDefault="00B0618B" w:rsidP="00B0618B">
      <w:pPr>
        <w:pStyle w:val="ListParagraph"/>
        <w:numPr>
          <w:ilvl w:val="2"/>
          <w:numId w:val="1"/>
        </w:numPr>
        <w:rPr>
          <w:rFonts w:cs="Times New Roman"/>
          <w:szCs w:val="24"/>
        </w:rPr>
      </w:pPr>
      <w:r w:rsidRPr="00AE5DDA">
        <w:rPr>
          <w:rFonts w:cs="Times New Roman"/>
          <w:szCs w:val="24"/>
        </w:rPr>
        <w:t>All need to prioritize lawyer health to change the legal culture</w:t>
      </w:r>
    </w:p>
    <w:p w14:paraId="2038104D" w14:textId="4BDAC81C" w:rsidR="00B0618B" w:rsidRPr="00AE5DDA" w:rsidRDefault="00B0618B" w:rsidP="00B0618B">
      <w:pPr>
        <w:pStyle w:val="ListParagraph"/>
        <w:numPr>
          <w:ilvl w:val="1"/>
          <w:numId w:val="1"/>
        </w:numPr>
        <w:rPr>
          <w:rFonts w:cs="Times New Roman"/>
          <w:szCs w:val="24"/>
        </w:rPr>
      </w:pPr>
      <w:r w:rsidRPr="00AE5DDA">
        <w:rPr>
          <w:rFonts w:cs="Times New Roman"/>
          <w:szCs w:val="24"/>
        </w:rPr>
        <w:t xml:space="preserve">Leaders Must Demonstrate a Personal Commitment to Well-Being – </w:t>
      </w:r>
    </w:p>
    <w:p w14:paraId="667AA6F9" w14:textId="3121E178" w:rsidR="00B0618B" w:rsidRPr="00AE5DDA" w:rsidRDefault="00B0618B" w:rsidP="00B0618B">
      <w:pPr>
        <w:pStyle w:val="ListParagraph"/>
        <w:numPr>
          <w:ilvl w:val="2"/>
          <w:numId w:val="1"/>
        </w:numPr>
        <w:rPr>
          <w:rFonts w:cs="Times New Roman"/>
          <w:szCs w:val="24"/>
        </w:rPr>
      </w:pPr>
      <w:r w:rsidRPr="00AE5DDA">
        <w:rPr>
          <w:rFonts w:cs="Times New Roman"/>
          <w:szCs w:val="24"/>
        </w:rPr>
        <w:t xml:space="preserve">Broad-scale change </w:t>
      </w:r>
      <w:r w:rsidR="00BA4389" w:rsidRPr="00AE5DDA">
        <w:rPr>
          <w:rFonts w:cs="Times New Roman"/>
          <w:szCs w:val="24"/>
        </w:rPr>
        <w:t xml:space="preserve">requires buy-in and role-modeling from the top down.  </w:t>
      </w:r>
    </w:p>
    <w:p w14:paraId="7BD374AF" w14:textId="1833AA61" w:rsidR="00BA4389" w:rsidRPr="00AE5DDA" w:rsidRDefault="00BA4389" w:rsidP="00B0618B">
      <w:pPr>
        <w:pStyle w:val="ListParagraph"/>
        <w:numPr>
          <w:ilvl w:val="2"/>
          <w:numId w:val="1"/>
        </w:numPr>
        <w:rPr>
          <w:rFonts w:cs="Times New Roman"/>
          <w:szCs w:val="24"/>
        </w:rPr>
      </w:pPr>
      <w:r w:rsidRPr="00AE5DDA">
        <w:rPr>
          <w:rFonts w:cs="Times New Roman"/>
          <w:szCs w:val="24"/>
        </w:rPr>
        <w:t>Leaders in the courts, law firms, law schools and bar associations are watched by others for signals as to what is expected</w:t>
      </w:r>
    </w:p>
    <w:p w14:paraId="111C053C" w14:textId="0590C485" w:rsidR="00BA4389" w:rsidRPr="00AE5DDA" w:rsidRDefault="00BA4389" w:rsidP="00B0618B">
      <w:pPr>
        <w:pStyle w:val="ListParagraph"/>
        <w:numPr>
          <w:ilvl w:val="2"/>
          <w:numId w:val="1"/>
        </w:numPr>
        <w:rPr>
          <w:rFonts w:cs="Times New Roman"/>
          <w:szCs w:val="24"/>
        </w:rPr>
      </w:pPr>
      <w:r w:rsidRPr="00AE5DDA">
        <w:rPr>
          <w:rFonts w:cs="Times New Roman"/>
          <w:szCs w:val="24"/>
        </w:rPr>
        <w:t>Leaders can create and support change through their own demonstrated commitment to well-being in their personal and professional lives</w:t>
      </w:r>
    </w:p>
    <w:p w14:paraId="1DCFD8DE" w14:textId="2E7B7B1E" w:rsidR="00BA4389" w:rsidRPr="00AE5DDA" w:rsidRDefault="00BA4389" w:rsidP="001774BD">
      <w:pPr>
        <w:pStyle w:val="ListParagraph"/>
        <w:keepNext/>
        <w:numPr>
          <w:ilvl w:val="1"/>
          <w:numId w:val="1"/>
        </w:numPr>
        <w:rPr>
          <w:rFonts w:cs="Times New Roman"/>
          <w:szCs w:val="24"/>
        </w:rPr>
      </w:pPr>
      <w:r w:rsidRPr="00AE5DDA">
        <w:rPr>
          <w:rFonts w:cs="Times New Roman"/>
          <w:szCs w:val="24"/>
        </w:rPr>
        <w:t>Facilitate, Destigmatize and Encourage Help-Seeking Behavior</w:t>
      </w:r>
    </w:p>
    <w:p w14:paraId="2DECD309" w14:textId="764D1D2F" w:rsidR="00BA4389" w:rsidRPr="00AE5DDA" w:rsidRDefault="00BA4389" w:rsidP="00BA4389">
      <w:pPr>
        <w:pStyle w:val="ListParagraph"/>
        <w:numPr>
          <w:ilvl w:val="2"/>
          <w:numId w:val="1"/>
        </w:numPr>
        <w:rPr>
          <w:rFonts w:cs="Times New Roman"/>
          <w:szCs w:val="24"/>
        </w:rPr>
      </w:pPr>
      <w:r w:rsidRPr="00AE5DDA">
        <w:rPr>
          <w:rFonts w:cs="Times New Roman"/>
          <w:szCs w:val="24"/>
        </w:rPr>
        <w:t>Factors hindering seeking help for mental health include: failure to know symptoms, not knowing how to access treatment, a culture’s negative attitude about such conditions, fear of adverse reactions by others, feeling ashamed, viewing help-seeking as a sign of weakness, fear of career repercussions, concerns about confidentiality, uncertainty about effectiveness of treatment, and lack of time</w:t>
      </w:r>
    </w:p>
    <w:p w14:paraId="07658897" w14:textId="2B7759D5" w:rsidR="00BA4389" w:rsidRPr="00AE5DDA" w:rsidRDefault="00BA4389" w:rsidP="00BA4389">
      <w:pPr>
        <w:pStyle w:val="ListParagraph"/>
        <w:numPr>
          <w:ilvl w:val="2"/>
          <w:numId w:val="1"/>
        </w:numPr>
        <w:rPr>
          <w:rFonts w:cs="Times New Roman"/>
          <w:szCs w:val="24"/>
        </w:rPr>
      </w:pPr>
      <w:r w:rsidRPr="00AE5DDA">
        <w:rPr>
          <w:rFonts w:cs="Times New Roman"/>
          <w:szCs w:val="24"/>
        </w:rPr>
        <w:t>Rather than seeking help early many wait until</w:t>
      </w:r>
      <w:r w:rsidR="00A84CB7" w:rsidRPr="00AE5DDA">
        <w:rPr>
          <w:rFonts w:cs="Times New Roman"/>
          <w:szCs w:val="24"/>
        </w:rPr>
        <w:t xml:space="preserve"> </w:t>
      </w:r>
      <w:r w:rsidRPr="00AE5DDA">
        <w:rPr>
          <w:rFonts w:cs="Times New Roman"/>
          <w:szCs w:val="24"/>
        </w:rPr>
        <w:t>symptoms are so severe they interfere with work</w:t>
      </w:r>
    </w:p>
    <w:p w14:paraId="1CBE0EFB" w14:textId="33FCBEDD" w:rsidR="00A84CB7" w:rsidRPr="00AE5DDA" w:rsidRDefault="00A84CB7" w:rsidP="00BA4389">
      <w:pPr>
        <w:pStyle w:val="ListParagraph"/>
        <w:numPr>
          <w:ilvl w:val="2"/>
          <w:numId w:val="1"/>
        </w:numPr>
        <w:rPr>
          <w:rFonts w:cs="Times New Roman"/>
          <w:szCs w:val="24"/>
        </w:rPr>
      </w:pPr>
      <w:r w:rsidRPr="00AE5DDA">
        <w:rPr>
          <w:rFonts w:cs="Times New Roman"/>
          <w:szCs w:val="24"/>
        </w:rPr>
        <w:t>Leaders can remove these obstacles with education, skill building and stigma-reducing strategies</w:t>
      </w:r>
    </w:p>
    <w:p w14:paraId="0232FFC7" w14:textId="24F82BB9" w:rsidR="00A84CB7" w:rsidRPr="00AE5DDA" w:rsidRDefault="00A84CB7" w:rsidP="00BA4389">
      <w:pPr>
        <w:pStyle w:val="ListParagraph"/>
        <w:numPr>
          <w:ilvl w:val="2"/>
          <w:numId w:val="1"/>
        </w:numPr>
        <w:rPr>
          <w:rFonts w:cs="Times New Roman"/>
          <w:szCs w:val="24"/>
        </w:rPr>
      </w:pPr>
      <w:r w:rsidRPr="00AE5DDA">
        <w:rPr>
          <w:rFonts w:cs="Times New Roman"/>
          <w:szCs w:val="24"/>
        </w:rPr>
        <w:t>Most effective way to reduce stigma is through direct contact with someone who has personally experienced a relevant disorder (ideally practicing lawyer/law student) to create a personal connection</w:t>
      </w:r>
    </w:p>
    <w:p w14:paraId="5FB2119A" w14:textId="2B604ABA" w:rsidR="00A84CB7" w:rsidRPr="00AE5DDA" w:rsidRDefault="00A84CB7" w:rsidP="00A84CB7">
      <w:pPr>
        <w:pStyle w:val="ListParagraph"/>
        <w:numPr>
          <w:ilvl w:val="1"/>
          <w:numId w:val="1"/>
        </w:numPr>
        <w:rPr>
          <w:rFonts w:cs="Times New Roman"/>
          <w:szCs w:val="24"/>
        </w:rPr>
      </w:pPr>
      <w:r w:rsidRPr="00AE5DDA">
        <w:rPr>
          <w:rFonts w:cs="Times New Roman"/>
          <w:szCs w:val="24"/>
        </w:rPr>
        <w:t>Build Relationships with Lawyer Well-Being Experts</w:t>
      </w:r>
    </w:p>
    <w:p w14:paraId="1A8CBB02" w14:textId="6E0EDD04" w:rsidR="00A84CB7" w:rsidRPr="00AE5DDA" w:rsidRDefault="00A84CB7" w:rsidP="00A84CB7">
      <w:pPr>
        <w:pStyle w:val="ListParagraph"/>
        <w:numPr>
          <w:ilvl w:val="2"/>
          <w:numId w:val="1"/>
        </w:numPr>
        <w:rPr>
          <w:rFonts w:cs="Times New Roman"/>
          <w:szCs w:val="24"/>
        </w:rPr>
      </w:pPr>
      <w:r w:rsidRPr="00AE5DDA">
        <w:rPr>
          <w:rFonts w:cs="Times New Roman"/>
          <w:szCs w:val="24"/>
        </w:rPr>
        <w:t>Partner with Lawyer Assistance Programs - All should partner with and insure sufficient and stable funding for Lawyer Assistance Programs</w:t>
      </w:r>
    </w:p>
    <w:p w14:paraId="4B41D8FD" w14:textId="439A0F43" w:rsidR="00A84CB7" w:rsidRPr="00AE5DDA" w:rsidRDefault="00A84CB7" w:rsidP="00A84CB7">
      <w:pPr>
        <w:pStyle w:val="ListParagraph"/>
        <w:numPr>
          <w:ilvl w:val="2"/>
          <w:numId w:val="1"/>
        </w:numPr>
        <w:rPr>
          <w:rFonts w:cs="Times New Roman"/>
          <w:szCs w:val="24"/>
        </w:rPr>
      </w:pPr>
      <w:r w:rsidRPr="00AE5DDA">
        <w:rPr>
          <w:rFonts w:cs="Times New Roman"/>
          <w:szCs w:val="24"/>
        </w:rPr>
        <w:t>Consult Lawyer Well-Being Committees and Other Types of Well-Being Experts – similar to Lawyer Assistance Programs many bar associations have quality of life/well-being committees or initiatives and there are many high-quality consultants available on the topic</w:t>
      </w:r>
    </w:p>
    <w:p w14:paraId="12FD3F72" w14:textId="77777777" w:rsidR="00F659FD" w:rsidRPr="00AE5DDA" w:rsidRDefault="00A84CB7" w:rsidP="00A84CB7">
      <w:pPr>
        <w:pStyle w:val="ListParagraph"/>
        <w:numPr>
          <w:ilvl w:val="1"/>
          <w:numId w:val="1"/>
        </w:numPr>
        <w:rPr>
          <w:rFonts w:cs="Times New Roman"/>
          <w:szCs w:val="24"/>
        </w:rPr>
      </w:pPr>
      <w:r w:rsidRPr="00AE5DDA">
        <w:rPr>
          <w:rFonts w:cs="Times New Roman"/>
          <w:szCs w:val="24"/>
        </w:rPr>
        <w:t xml:space="preserve">Foster Congeniality and Respectful Engagement Throughout the Profession: </w:t>
      </w:r>
    </w:p>
    <w:p w14:paraId="24B3A3B4" w14:textId="656FAF82" w:rsidR="00F659FD" w:rsidRPr="00AE5DDA" w:rsidRDefault="00F659FD" w:rsidP="00F659FD">
      <w:pPr>
        <w:pStyle w:val="ListParagraph"/>
        <w:numPr>
          <w:ilvl w:val="2"/>
          <w:numId w:val="1"/>
        </w:numPr>
        <w:rPr>
          <w:rFonts w:cs="Times New Roman"/>
          <w:szCs w:val="24"/>
        </w:rPr>
      </w:pPr>
      <w:r w:rsidRPr="00AE5DDA">
        <w:rPr>
          <w:rFonts w:cs="Times New Roman"/>
          <w:szCs w:val="24"/>
        </w:rPr>
        <w:t>Judges, practitioners, regulators students and professors regularly interact with each other, clients, opposing parties and clerks, staff and many others, that contact can be foment a toxic culture or foster a respectful culture.</w:t>
      </w:r>
    </w:p>
    <w:p w14:paraId="08AD0B5C" w14:textId="067F0356" w:rsidR="00F659FD" w:rsidRPr="00AE5DDA" w:rsidRDefault="00F659FD" w:rsidP="00F659FD">
      <w:pPr>
        <w:pStyle w:val="ListParagraph"/>
        <w:numPr>
          <w:ilvl w:val="2"/>
          <w:numId w:val="1"/>
        </w:numPr>
        <w:rPr>
          <w:rFonts w:cs="Times New Roman"/>
          <w:szCs w:val="24"/>
        </w:rPr>
      </w:pPr>
      <w:r w:rsidRPr="00AE5DDA">
        <w:rPr>
          <w:rFonts w:cs="Times New Roman"/>
          <w:szCs w:val="24"/>
        </w:rPr>
        <w:t>Civility is in decline: 72% describe incivility as a serious/moderately serious problem with the profession compared with 42% 15 years ago</w:t>
      </w:r>
    </w:p>
    <w:p w14:paraId="51AFA5A0" w14:textId="5F11B680" w:rsidR="00F659FD" w:rsidRPr="00AE5DDA" w:rsidRDefault="00F659FD" w:rsidP="00F659FD">
      <w:pPr>
        <w:pStyle w:val="ListParagraph"/>
        <w:numPr>
          <w:ilvl w:val="2"/>
          <w:numId w:val="1"/>
        </w:numPr>
        <w:rPr>
          <w:rFonts w:cs="Times New Roman"/>
          <w:szCs w:val="24"/>
        </w:rPr>
      </w:pPr>
      <w:r w:rsidRPr="00AE5DDA">
        <w:rPr>
          <w:rFonts w:cs="Times New Roman"/>
          <w:szCs w:val="24"/>
        </w:rPr>
        <w:t>Judges, law firms should adopt rules of professionalism including the expectation that all leaders in the profession should be role models for such rules/standards</w:t>
      </w:r>
    </w:p>
    <w:p w14:paraId="459340A4" w14:textId="162290CE" w:rsidR="00F659FD" w:rsidRPr="00AE5DDA" w:rsidRDefault="00F659FD" w:rsidP="00F659FD">
      <w:pPr>
        <w:pStyle w:val="ListParagraph"/>
        <w:numPr>
          <w:ilvl w:val="2"/>
          <w:numId w:val="1"/>
        </w:numPr>
        <w:rPr>
          <w:rFonts w:cs="Times New Roman"/>
          <w:szCs w:val="24"/>
        </w:rPr>
      </w:pPr>
      <w:r w:rsidRPr="00AE5DDA">
        <w:rPr>
          <w:rFonts w:cs="Times New Roman"/>
          <w:szCs w:val="24"/>
        </w:rPr>
        <w:t xml:space="preserve">Exemplary standards of professionalism are inclusive: organizational diversity and inclusion initiatives are associated with employee well-being, general mental and physical health, </w:t>
      </w:r>
      <w:r w:rsidR="00F74EAB" w:rsidRPr="00AE5DDA">
        <w:rPr>
          <w:rFonts w:cs="Times New Roman"/>
          <w:szCs w:val="24"/>
        </w:rPr>
        <w:t xml:space="preserve">lower </w:t>
      </w:r>
      <w:r w:rsidRPr="00AE5DDA">
        <w:rPr>
          <w:rFonts w:cs="Times New Roman"/>
          <w:szCs w:val="24"/>
        </w:rPr>
        <w:t xml:space="preserve">perceived stress levels, </w:t>
      </w:r>
      <w:r w:rsidR="00F74EAB" w:rsidRPr="00AE5DDA">
        <w:rPr>
          <w:rFonts w:cs="Times New Roman"/>
          <w:szCs w:val="24"/>
        </w:rPr>
        <w:t xml:space="preserve">increased </w:t>
      </w:r>
      <w:r w:rsidRPr="00AE5DDA">
        <w:rPr>
          <w:rFonts w:cs="Times New Roman"/>
          <w:szCs w:val="24"/>
        </w:rPr>
        <w:t xml:space="preserve">job satisfaction, </w:t>
      </w:r>
      <w:r w:rsidR="00F74EAB" w:rsidRPr="00AE5DDA">
        <w:rPr>
          <w:rFonts w:cs="Times New Roman"/>
          <w:szCs w:val="24"/>
        </w:rPr>
        <w:t xml:space="preserve">increased </w:t>
      </w:r>
      <w:r w:rsidRPr="00AE5DDA">
        <w:rPr>
          <w:rFonts w:cs="Times New Roman"/>
          <w:szCs w:val="24"/>
        </w:rPr>
        <w:t xml:space="preserve">organizational commitment, </w:t>
      </w:r>
      <w:r w:rsidR="00F74EAB" w:rsidRPr="00AE5DDA">
        <w:rPr>
          <w:rFonts w:cs="Times New Roman"/>
          <w:szCs w:val="24"/>
        </w:rPr>
        <w:t xml:space="preserve">increased </w:t>
      </w:r>
      <w:r w:rsidRPr="00AE5DDA">
        <w:rPr>
          <w:rFonts w:cs="Times New Roman"/>
          <w:szCs w:val="24"/>
        </w:rPr>
        <w:t xml:space="preserve">trust, </w:t>
      </w:r>
      <w:r w:rsidR="00F74EAB" w:rsidRPr="00AE5DDA">
        <w:rPr>
          <w:rFonts w:cs="Times New Roman"/>
          <w:szCs w:val="24"/>
        </w:rPr>
        <w:t xml:space="preserve">increased </w:t>
      </w:r>
      <w:r w:rsidRPr="00AE5DDA">
        <w:rPr>
          <w:rFonts w:cs="Times New Roman"/>
          <w:szCs w:val="24"/>
        </w:rPr>
        <w:t>work engagement</w:t>
      </w:r>
      <w:r w:rsidR="00F74EAB" w:rsidRPr="00AE5DDA">
        <w:rPr>
          <w:rFonts w:cs="Times New Roman"/>
          <w:szCs w:val="24"/>
        </w:rPr>
        <w:t xml:space="preserve">, </w:t>
      </w:r>
    </w:p>
    <w:p w14:paraId="1FC2D42C" w14:textId="4329EA49" w:rsidR="00F74EAB" w:rsidRPr="00AE5DDA" w:rsidRDefault="00F74EAB" w:rsidP="00F74EAB">
      <w:pPr>
        <w:pStyle w:val="ListParagraph"/>
        <w:numPr>
          <w:ilvl w:val="1"/>
          <w:numId w:val="1"/>
        </w:numPr>
        <w:rPr>
          <w:rFonts w:cs="Times New Roman"/>
          <w:szCs w:val="24"/>
        </w:rPr>
      </w:pPr>
      <w:r w:rsidRPr="00AE5DDA">
        <w:rPr>
          <w:rFonts w:cs="Times New Roman"/>
          <w:szCs w:val="24"/>
        </w:rPr>
        <w:t>Promote Diversity and Inclusivity – Scholarships, bar exam grants for qualified applicants, law school orientation programs to highlight importance of diversity and inclusion, CLE programs on diversity, business development and symposia for women and minority owned law firms, diversity clerkships and law firm initiatives</w:t>
      </w:r>
    </w:p>
    <w:p w14:paraId="23C15A8B" w14:textId="1065A70A" w:rsidR="00F74EAB" w:rsidRPr="00AE5DDA" w:rsidRDefault="00F74EAB" w:rsidP="00F74EAB">
      <w:pPr>
        <w:pStyle w:val="ListParagraph"/>
        <w:numPr>
          <w:ilvl w:val="1"/>
          <w:numId w:val="1"/>
        </w:numPr>
        <w:rPr>
          <w:rFonts w:cs="Times New Roman"/>
          <w:szCs w:val="24"/>
        </w:rPr>
      </w:pPr>
      <w:r w:rsidRPr="00AE5DDA">
        <w:rPr>
          <w:rFonts w:cs="Times New Roman"/>
          <w:szCs w:val="24"/>
        </w:rPr>
        <w:t>Create Meaningful Mentoring and Sponsorship Programs – can aid well-being and career progression for women and diverse professionals</w:t>
      </w:r>
    </w:p>
    <w:p w14:paraId="26C5E60E" w14:textId="1ACFDA9F" w:rsidR="00F74EAB" w:rsidRPr="00AE5DDA" w:rsidRDefault="00F74EAB" w:rsidP="00F74EAB">
      <w:pPr>
        <w:pStyle w:val="ListParagraph"/>
        <w:numPr>
          <w:ilvl w:val="1"/>
          <w:numId w:val="1"/>
        </w:numPr>
        <w:rPr>
          <w:rFonts w:cs="Times New Roman"/>
          <w:szCs w:val="24"/>
        </w:rPr>
      </w:pPr>
      <w:r w:rsidRPr="00AE5DDA">
        <w:rPr>
          <w:rFonts w:cs="Times New Roman"/>
          <w:szCs w:val="24"/>
        </w:rPr>
        <w:t>Enhance Lawyers’ Sense of Control</w:t>
      </w:r>
    </w:p>
    <w:p w14:paraId="3302C5FA" w14:textId="0860A2A5" w:rsidR="00F74EAB" w:rsidRPr="00AE5DDA" w:rsidRDefault="00F74EAB" w:rsidP="00F74EAB">
      <w:pPr>
        <w:pStyle w:val="ListParagraph"/>
        <w:numPr>
          <w:ilvl w:val="2"/>
          <w:numId w:val="1"/>
        </w:numPr>
        <w:rPr>
          <w:rFonts w:cs="Times New Roman"/>
          <w:szCs w:val="24"/>
        </w:rPr>
      </w:pPr>
      <w:r w:rsidRPr="00AE5DDA">
        <w:rPr>
          <w:rFonts w:cs="Times New Roman"/>
          <w:szCs w:val="24"/>
        </w:rPr>
        <w:t>High job demands coupled with lack of control over schedule/lives breeds depression, elevates risk of alcohol abuse</w:t>
      </w:r>
    </w:p>
    <w:p w14:paraId="30076729" w14:textId="40F1BA4C" w:rsidR="00F74EAB" w:rsidRPr="00AE5DDA" w:rsidRDefault="00DC23B5" w:rsidP="00F74EAB">
      <w:pPr>
        <w:pStyle w:val="ListParagraph"/>
        <w:numPr>
          <w:ilvl w:val="2"/>
          <w:numId w:val="1"/>
        </w:numPr>
        <w:rPr>
          <w:rFonts w:cs="Times New Roman"/>
          <w:szCs w:val="24"/>
        </w:rPr>
      </w:pPr>
      <w:r w:rsidRPr="00AE5DDA">
        <w:rPr>
          <w:rFonts w:cs="Times New Roman"/>
          <w:szCs w:val="24"/>
        </w:rPr>
        <w:t>Long-standing structures of the legal profession, organizational norms and embedded expectations can be modified to allow increased sense of control and support healthier lifestyle</w:t>
      </w:r>
    </w:p>
    <w:p w14:paraId="2E810E56" w14:textId="77777777" w:rsidR="00851376" w:rsidRPr="00AE5DDA" w:rsidRDefault="00DC23B5" w:rsidP="00DC23B5">
      <w:pPr>
        <w:pStyle w:val="ListParagraph"/>
        <w:numPr>
          <w:ilvl w:val="1"/>
          <w:numId w:val="1"/>
        </w:numPr>
        <w:rPr>
          <w:rFonts w:cs="Times New Roman"/>
          <w:szCs w:val="24"/>
        </w:rPr>
      </w:pPr>
      <w:r w:rsidRPr="00AE5DDA">
        <w:rPr>
          <w:rFonts w:cs="Times New Roman"/>
          <w:szCs w:val="24"/>
        </w:rPr>
        <w:t xml:space="preserve">Provide High-Quality Educational Programs About Lawyer Distress and Well-Being- </w:t>
      </w:r>
    </w:p>
    <w:p w14:paraId="701525BA" w14:textId="2F9FA5E5" w:rsidR="00DC23B5" w:rsidRPr="00AE5DDA" w:rsidRDefault="00E502A0" w:rsidP="00851376">
      <w:pPr>
        <w:pStyle w:val="ListParagraph"/>
        <w:numPr>
          <w:ilvl w:val="2"/>
          <w:numId w:val="1"/>
        </w:numPr>
        <w:rPr>
          <w:rFonts w:cs="Times New Roman"/>
          <w:szCs w:val="24"/>
        </w:rPr>
      </w:pPr>
      <w:r w:rsidRPr="00AE5DDA">
        <w:rPr>
          <w:rFonts w:cs="Times New Roman"/>
          <w:szCs w:val="24"/>
        </w:rPr>
        <w:t>L</w:t>
      </w:r>
      <w:r w:rsidR="00DC23B5" w:rsidRPr="00AE5DDA">
        <w:rPr>
          <w:rFonts w:cs="Times New Roman"/>
          <w:szCs w:val="24"/>
        </w:rPr>
        <w:t xml:space="preserve">egal professionals should receive training in identifying addressing and </w:t>
      </w:r>
      <w:r w:rsidR="00851376" w:rsidRPr="00AE5DDA">
        <w:rPr>
          <w:rFonts w:cs="Times New Roman"/>
          <w:szCs w:val="24"/>
        </w:rPr>
        <w:t>supporting fellow professionals with mental health and substance use disorders</w:t>
      </w:r>
    </w:p>
    <w:p w14:paraId="3F7185B9" w14:textId="252E18A6" w:rsidR="00851376" w:rsidRPr="00AE5DDA" w:rsidRDefault="00E502A0" w:rsidP="00851376">
      <w:pPr>
        <w:pStyle w:val="ListParagraph"/>
        <w:numPr>
          <w:ilvl w:val="2"/>
          <w:numId w:val="1"/>
        </w:numPr>
        <w:rPr>
          <w:rFonts w:cs="Times New Roman"/>
          <w:szCs w:val="24"/>
        </w:rPr>
      </w:pPr>
      <w:r w:rsidRPr="00AE5DDA">
        <w:rPr>
          <w:rFonts w:cs="Times New Roman"/>
          <w:szCs w:val="24"/>
        </w:rPr>
        <w:t>T</w:t>
      </w:r>
      <w:r w:rsidR="00851376" w:rsidRPr="00AE5DDA">
        <w:rPr>
          <w:rFonts w:cs="Times New Roman"/>
          <w:szCs w:val="24"/>
        </w:rPr>
        <w:t>raining should include: warning signs, how and where to get help, relationship between substance use, depression anxiety and suicide, freedom from substance use and mental health disorders as an indispensable predicate to fitness to practice</w:t>
      </w:r>
    </w:p>
    <w:p w14:paraId="22AB5C86" w14:textId="6B952CD2" w:rsidR="00851376" w:rsidRPr="00AE5DDA" w:rsidRDefault="00851376" w:rsidP="00851376">
      <w:pPr>
        <w:pStyle w:val="ListParagraph"/>
        <w:numPr>
          <w:ilvl w:val="2"/>
          <w:numId w:val="1"/>
        </w:numPr>
        <w:rPr>
          <w:rFonts w:cs="Times New Roman"/>
          <w:szCs w:val="24"/>
        </w:rPr>
      </w:pPr>
      <w:r w:rsidRPr="00AE5DDA">
        <w:rPr>
          <w:rFonts w:cs="Times New Roman"/>
          <w:szCs w:val="24"/>
        </w:rPr>
        <w:t>enlist help of recovering lawyers who are successful members of their community</w:t>
      </w:r>
    </w:p>
    <w:p w14:paraId="54E55971" w14:textId="17A4B6A1" w:rsidR="00851376" w:rsidRPr="00AE5DDA" w:rsidRDefault="00851376" w:rsidP="00851376">
      <w:pPr>
        <w:pStyle w:val="ListParagraph"/>
        <w:numPr>
          <w:ilvl w:val="1"/>
          <w:numId w:val="1"/>
        </w:numPr>
        <w:rPr>
          <w:rFonts w:cs="Times New Roman"/>
          <w:szCs w:val="24"/>
        </w:rPr>
      </w:pPr>
      <w:r w:rsidRPr="00AE5DDA">
        <w:rPr>
          <w:rFonts w:cs="Times New Roman"/>
          <w:szCs w:val="24"/>
        </w:rPr>
        <w:t xml:space="preserve">Guide and Support the Transition of Older Lawyers: </w:t>
      </w:r>
    </w:p>
    <w:p w14:paraId="24FEFFFA" w14:textId="6E9AE5D0" w:rsidR="00851376" w:rsidRPr="00AE5DDA" w:rsidRDefault="00851376" w:rsidP="00851376">
      <w:pPr>
        <w:pStyle w:val="ListParagraph"/>
        <w:numPr>
          <w:ilvl w:val="2"/>
          <w:numId w:val="1"/>
        </w:numPr>
        <w:rPr>
          <w:rFonts w:cs="Times New Roman"/>
          <w:szCs w:val="24"/>
        </w:rPr>
      </w:pPr>
      <w:r w:rsidRPr="00AE5DDA">
        <w:rPr>
          <w:rFonts w:cs="Times New Roman"/>
          <w:szCs w:val="24"/>
        </w:rPr>
        <w:t>Legal community is aging and practicing longer.</w:t>
      </w:r>
    </w:p>
    <w:p w14:paraId="476F4E14" w14:textId="1301BC1E" w:rsidR="00851376" w:rsidRPr="00AE5DDA" w:rsidRDefault="00851376" w:rsidP="00851376">
      <w:pPr>
        <w:pStyle w:val="ListParagraph"/>
        <w:numPr>
          <w:ilvl w:val="2"/>
          <w:numId w:val="1"/>
        </w:numPr>
        <w:rPr>
          <w:rFonts w:cs="Times New Roman"/>
          <w:szCs w:val="24"/>
        </w:rPr>
      </w:pPr>
      <w:r w:rsidRPr="00AE5DDA">
        <w:rPr>
          <w:rFonts w:cs="Times New Roman"/>
          <w:szCs w:val="24"/>
        </w:rPr>
        <w:t>Create system to detect and address cognitive decline in oneself and others</w:t>
      </w:r>
    </w:p>
    <w:p w14:paraId="449A7D7A" w14:textId="2B5CED7C" w:rsidR="00851376" w:rsidRPr="00AE5DDA" w:rsidRDefault="00851376" w:rsidP="00851376">
      <w:pPr>
        <w:pStyle w:val="ListParagraph"/>
        <w:numPr>
          <w:ilvl w:val="2"/>
          <w:numId w:val="1"/>
        </w:numPr>
        <w:rPr>
          <w:rFonts w:cs="Times New Roman"/>
          <w:szCs w:val="24"/>
        </w:rPr>
      </w:pPr>
      <w:r w:rsidRPr="00AE5DDA">
        <w:rPr>
          <w:rFonts w:cs="Times New Roman"/>
          <w:szCs w:val="24"/>
        </w:rPr>
        <w:t>Leaders should develop succession plans to guide the transition of the aging legal professional</w:t>
      </w:r>
    </w:p>
    <w:p w14:paraId="270F7C93" w14:textId="64FA01A1" w:rsidR="00851376" w:rsidRPr="00AE5DDA" w:rsidRDefault="00851376" w:rsidP="00851376">
      <w:pPr>
        <w:pStyle w:val="ListParagraph"/>
        <w:numPr>
          <w:ilvl w:val="2"/>
          <w:numId w:val="1"/>
        </w:numPr>
        <w:rPr>
          <w:rFonts w:cs="Times New Roman"/>
          <w:szCs w:val="24"/>
        </w:rPr>
      </w:pPr>
      <w:r w:rsidRPr="00AE5DDA">
        <w:rPr>
          <w:rFonts w:cs="Times New Roman"/>
          <w:szCs w:val="24"/>
        </w:rPr>
        <w:t>Legal professionals, judges, courts, law schools should develop programs to aid in the transition of retiring legal professionals.</w:t>
      </w:r>
    </w:p>
    <w:p w14:paraId="661D6869" w14:textId="50B96BDF" w:rsidR="00851376" w:rsidRPr="00AE5DDA" w:rsidRDefault="00851376" w:rsidP="00851376">
      <w:pPr>
        <w:pStyle w:val="ListParagraph"/>
        <w:numPr>
          <w:ilvl w:val="1"/>
          <w:numId w:val="1"/>
        </w:numPr>
        <w:rPr>
          <w:rFonts w:cs="Times New Roman"/>
          <w:szCs w:val="24"/>
        </w:rPr>
      </w:pPr>
      <w:r w:rsidRPr="00AE5DDA">
        <w:rPr>
          <w:rFonts w:cs="Times New Roman"/>
          <w:szCs w:val="24"/>
        </w:rPr>
        <w:t>De-Emphasize Alcohol at Social Events –</w:t>
      </w:r>
    </w:p>
    <w:p w14:paraId="01420466" w14:textId="71663805" w:rsidR="00851376" w:rsidRPr="00AE5DDA" w:rsidRDefault="00851376" w:rsidP="00C84975">
      <w:pPr>
        <w:pStyle w:val="ListParagraph"/>
        <w:numPr>
          <w:ilvl w:val="2"/>
          <w:numId w:val="1"/>
        </w:numPr>
        <w:rPr>
          <w:rFonts w:cs="Times New Roman"/>
          <w:szCs w:val="24"/>
        </w:rPr>
      </w:pPr>
      <w:r w:rsidRPr="00AE5DDA">
        <w:rPr>
          <w:rFonts w:cs="Times New Roman"/>
          <w:szCs w:val="24"/>
        </w:rPr>
        <w:t>Workplace cultures that support alcohol consumption are among the most consistent predictors of employee drinking.</w:t>
      </w:r>
    </w:p>
    <w:p w14:paraId="7980068F" w14:textId="34FC2D49" w:rsidR="00C84975" w:rsidRPr="00AE5DDA" w:rsidRDefault="00C84975" w:rsidP="00C84975">
      <w:pPr>
        <w:pStyle w:val="ListParagraph"/>
        <w:numPr>
          <w:ilvl w:val="2"/>
          <w:numId w:val="1"/>
        </w:numPr>
        <w:rPr>
          <w:rFonts w:cs="Times New Roman"/>
          <w:szCs w:val="24"/>
        </w:rPr>
      </w:pPr>
      <w:r w:rsidRPr="00AE5DDA">
        <w:rPr>
          <w:rFonts w:cs="Times New Roman"/>
          <w:szCs w:val="24"/>
        </w:rPr>
        <w:t>Can reinforce tendencies towards problem drinking and stigmatize4 seeking help</w:t>
      </w:r>
    </w:p>
    <w:p w14:paraId="496229E1" w14:textId="5D93739A" w:rsidR="00C84975" w:rsidRPr="00AE5DDA" w:rsidRDefault="00C84975" w:rsidP="00C84975">
      <w:pPr>
        <w:pStyle w:val="ListParagraph"/>
        <w:numPr>
          <w:ilvl w:val="1"/>
          <w:numId w:val="1"/>
        </w:numPr>
        <w:rPr>
          <w:rFonts w:cs="Times New Roman"/>
          <w:szCs w:val="24"/>
        </w:rPr>
      </w:pPr>
      <w:r w:rsidRPr="00AE5DDA">
        <w:rPr>
          <w:rFonts w:cs="Times New Roman"/>
          <w:szCs w:val="24"/>
        </w:rPr>
        <w:t>Utilize Monitoring to Support Recovery from Substance Use Disorders</w:t>
      </w:r>
    </w:p>
    <w:p w14:paraId="7CC6B754" w14:textId="2FD775A5" w:rsidR="00C84975" w:rsidRPr="00AE5DDA" w:rsidRDefault="00C84975" w:rsidP="00C84975">
      <w:pPr>
        <w:pStyle w:val="ListParagraph"/>
        <w:numPr>
          <w:ilvl w:val="2"/>
          <w:numId w:val="1"/>
        </w:numPr>
        <w:rPr>
          <w:rFonts w:cs="Times New Roman"/>
          <w:szCs w:val="24"/>
        </w:rPr>
      </w:pPr>
      <w:r w:rsidRPr="00AE5DDA">
        <w:rPr>
          <w:rFonts w:cs="Times New Roman"/>
          <w:szCs w:val="24"/>
        </w:rPr>
        <w:t>Random drug/alcohol testing is effective way to support recovery</w:t>
      </w:r>
    </w:p>
    <w:p w14:paraId="77C8F874" w14:textId="23B9EB4C" w:rsidR="00C84975" w:rsidRPr="00AE5DDA" w:rsidRDefault="00C84975" w:rsidP="00C84975">
      <w:pPr>
        <w:pStyle w:val="ListParagraph"/>
        <w:numPr>
          <w:ilvl w:val="2"/>
          <w:numId w:val="1"/>
        </w:numPr>
        <w:rPr>
          <w:rFonts w:cs="Times New Roman"/>
          <w:szCs w:val="24"/>
        </w:rPr>
      </w:pPr>
      <w:r w:rsidRPr="00AE5DDA">
        <w:rPr>
          <w:rFonts w:cs="Times New Roman"/>
          <w:szCs w:val="24"/>
        </w:rPr>
        <w:t>96% of medical professionals subject to random drug tests remained drug free vs. 64% not so subject</w:t>
      </w:r>
    </w:p>
    <w:p w14:paraId="2E848778" w14:textId="666C00A2" w:rsidR="00C84975" w:rsidRPr="00AE5DDA" w:rsidRDefault="00C84975" w:rsidP="00C84975">
      <w:pPr>
        <w:pStyle w:val="ListParagraph"/>
        <w:numPr>
          <w:ilvl w:val="2"/>
          <w:numId w:val="1"/>
        </w:numPr>
        <w:rPr>
          <w:rFonts w:cs="Times New Roman"/>
          <w:szCs w:val="24"/>
        </w:rPr>
      </w:pPr>
      <w:r w:rsidRPr="00AE5DDA">
        <w:rPr>
          <w:rFonts w:cs="Times New Roman"/>
          <w:szCs w:val="24"/>
        </w:rPr>
        <w:t>95% were still working in the healthcare field at a five year follow up</w:t>
      </w:r>
    </w:p>
    <w:p w14:paraId="58613705" w14:textId="3A4F2423" w:rsidR="00C84975" w:rsidRPr="00AE5DDA" w:rsidRDefault="00C84975" w:rsidP="00C84975">
      <w:pPr>
        <w:pStyle w:val="ListParagraph"/>
        <w:numPr>
          <w:ilvl w:val="1"/>
          <w:numId w:val="1"/>
        </w:numPr>
        <w:rPr>
          <w:rFonts w:cs="Times New Roman"/>
          <w:szCs w:val="24"/>
        </w:rPr>
      </w:pPr>
      <w:r w:rsidRPr="00AE5DDA">
        <w:rPr>
          <w:rFonts w:cs="Times New Roman"/>
          <w:szCs w:val="24"/>
        </w:rPr>
        <w:t xml:space="preserve">Begin a Dialogue About Suicide Prevention – </w:t>
      </w:r>
    </w:p>
    <w:p w14:paraId="53FB4BA1" w14:textId="533DB755" w:rsidR="00C84975" w:rsidRPr="00AE5DDA" w:rsidRDefault="00C84975" w:rsidP="00C84975">
      <w:pPr>
        <w:pStyle w:val="ListParagraph"/>
        <w:numPr>
          <w:ilvl w:val="2"/>
          <w:numId w:val="1"/>
        </w:numPr>
        <w:rPr>
          <w:rFonts w:cs="Times New Roman"/>
          <w:szCs w:val="24"/>
        </w:rPr>
      </w:pPr>
      <w:r w:rsidRPr="00AE5DDA">
        <w:rPr>
          <w:rFonts w:cs="Times New Roman"/>
          <w:szCs w:val="24"/>
        </w:rPr>
        <w:t>Lawyers have a high rate of suicide related to reluctance to ask for help, high levels of depression and stressful nature of the job</w:t>
      </w:r>
    </w:p>
    <w:p w14:paraId="01AF0882" w14:textId="1921DB8B" w:rsidR="00C84975" w:rsidRPr="00AE5DDA" w:rsidRDefault="00C84975" w:rsidP="00C84975">
      <w:pPr>
        <w:pStyle w:val="ListParagraph"/>
        <w:numPr>
          <w:ilvl w:val="2"/>
          <w:numId w:val="1"/>
        </w:numPr>
        <w:rPr>
          <w:rFonts w:cs="Times New Roman"/>
          <w:szCs w:val="24"/>
        </w:rPr>
      </w:pPr>
      <w:r w:rsidRPr="00AE5DDA">
        <w:rPr>
          <w:rFonts w:cs="Times New Roman"/>
          <w:szCs w:val="24"/>
        </w:rPr>
        <w:t>Members of the profession need to provide education and take action</w:t>
      </w:r>
    </w:p>
    <w:p w14:paraId="42F027C2" w14:textId="49001F22" w:rsidR="00C84975" w:rsidRPr="00AE5DDA" w:rsidRDefault="00C84975" w:rsidP="00C84975">
      <w:pPr>
        <w:pStyle w:val="ListParagraph"/>
        <w:numPr>
          <w:ilvl w:val="2"/>
          <w:numId w:val="1"/>
        </w:numPr>
        <w:rPr>
          <w:rFonts w:cs="Times New Roman"/>
          <w:szCs w:val="24"/>
        </w:rPr>
      </w:pPr>
      <w:r w:rsidRPr="00AE5DDA">
        <w:rPr>
          <w:rFonts w:cs="Times New Roman"/>
          <w:szCs w:val="24"/>
        </w:rPr>
        <w:t>Share stories of those affected by suicide</w:t>
      </w:r>
    </w:p>
    <w:p w14:paraId="24B7393D" w14:textId="36B18EBF" w:rsidR="00C84975" w:rsidRPr="00AE5DDA" w:rsidRDefault="00C84975" w:rsidP="00C84975">
      <w:pPr>
        <w:pStyle w:val="ListParagraph"/>
        <w:numPr>
          <w:ilvl w:val="2"/>
          <w:numId w:val="1"/>
        </w:numPr>
        <w:rPr>
          <w:rFonts w:cs="Times New Roman"/>
          <w:szCs w:val="24"/>
        </w:rPr>
      </w:pPr>
      <w:r w:rsidRPr="00AE5DDA">
        <w:rPr>
          <w:rFonts w:cs="Times New Roman"/>
          <w:szCs w:val="24"/>
        </w:rPr>
        <w:t>Provide education about signs of depression/suicidal thinking</w:t>
      </w:r>
    </w:p>
    <w:p w14:paraId="54BDF54D" w14:textId="417FE2E6" w:rsidR="00C84975" w:rsidRPr="00AE5DDA" w:rsidRDefault="00C84975" w:rsidP="00C84975">
      <w:pPr>
        <w:pStyle w:val="ListParagraph"/>
        <w:numPr>
          <w:ilvl w:val="2"/>
          <w:numId w:val="1"/>
        </w:numPr>
        <w:rPr>
          <w:rFonts w:cs="Times New Roman"/>
          <w:szCs w:val="24"/>
        </w:rPr>
      </w:pPr>
      <w:r w:rsidRPr="00AE5DDA">
        <w:rPr>
          <w:rFonts w:cs="Times New Roman"/>
          <w:szCs w:val="24"/>
        </w:rPr>
        <w:t>Learn non-verbal signs of distress</w:t>
      </w:r>
    </w:p>
    <w:p w14:paraId="62305A9C" w14:textId="53354EB3" w:rsidR="00C84975" w:rsidRPr="00AE5DDA" w:rsidRDefault="00C84975" w:rsidP="00C84975">
      <w:pPr>
        <w:pStyle w:val="ListParagraph"/>
        <w:numPr>
          <w:ilvl w:val="2"/>
          <w:numId w:val="1"/>
        </w:numPr>
        <w:rPr>
          <w:rFonts w:cs="Times New Roman"/>
          <w:szCs w:val="24"/>
        </w:rPr>
      </w:pPr>
      <w:r w:rsidRPr="00AE5DDA">
        <w:rPr>
          <w:rFonts w:cs="Times New Roman"/>
          <w:szCs w:val="24"/>
        </w:rPr>
        <w:t>Collect and publicize available resources.</w:t>
      </w:r>
    </w:p>
    <w:p w14:paraId="3F191A8B" w14:textId="75D7B323" w:rsidR="00C84975" w:rsidRPr="00AE5DDA" w:rsidRDefault="00C84975" w:rsidP="00C84975">
      <w:pPr>
        <w:pStyle w:val="ListParagraph"/>
        <w:numPr>
          <w:ilvl w:val="1"/>
          <w:numId w:val="1"/>
        </w:numPr>
        <w:rPr>
          <w:rFonts w:cs="Times New Roman"/>
          <w:szCs w:val="24"/>
        </w:rPr>
      </w:pPr>
      <w:r w:rsidRPr="00AE5DDA">
        <w:rPr>
          <w:rFonts w:cs="Times New Roman"/>
          <w:szCs w:val="24"/>
        </w:rPr>
        <w:t>Support a Lawyer Well-Being Index to Measure the Profession’s Progress</w:t>
      </w:r>
      <w:r w:rsidR="002B1913" w:rsidRPr="00AE5DDA">
        <w:rPr>
          <w:rFonts w:cs="Times New Roman"/>
          <w:szCs w:val="24"/>
        </w:rPr>
        <w:t xml:space="preserve"> – Bar associations need to create a well-being index for legal professionals including metrics related to lawyers, staff, clients, the legal profession and the broader community.  Success should not be measured in purely economic terms</w:t>
      </w:r>
    </w:p>
    <w:sectPr w:rsidR="00C84975" w:rsidRPr="00AE5DDA" w:rsidSect="000A1AD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C9075" w14:textId="77777777" w:rsidR="000A1ADE" w:rsidRDefault="000A1ADE" w:rsidP="000A1ADE">
      <w:pPr>
        <w:spacing w:after="0" w:line="240" w:lineRule="auto"/>
      </w:pPr>
      <w:r>
        <w:separator/>
      </w:r>
    </w:p>
  </w:endnote>
  <w:endnote w:type="continuationSeparator" w:id="0">
    <w:p w14:paraId="33DB2975" w14:textId="77777777" w:rsidR="000A1ADE" w:rsidRDefault="000A1ADE" w:rsidP="000A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492850"/>
      <w:docPartObj>
        <w:docPartGallery w:val="Page Numbers (Bottom of Page)"/>
        <w:docPartUnique/>
      </w:docPartObj>
    </w:sdtPr>
    <w:sdtEndPr>
      <w:rPr>
        <w:noProof/>
      </w:rPr>
    </w:sdtEndPr>
    <w:sdtContent>
      <w:p w14:paraId="5860E273" w14:textId="7646849E" w:rsidR="000A1ADE" w:rsidRDefault="000A1ADE">
        <w:pPr>
          <w:pStyle w:val="Footer"/>
          <w:jc w:val="center"/>
        </w:pPr>
        <w:r>
          <w:fldChar w:fldCharType="begin"/>
        </w:r>
        <w:r>
          <w:instrText xml:space="preserve"> PAGE   \* MERGEFORMAT </w:instrText>
        </w:r>
        <w:r>
          <w:fldChar w:fldCharType="separate"/>
        </w:r>
        <w:r w:rsidR="009122E8">
          <w:rPr>
            <w:noProof/>
          </w:rPr>
          <w:t>12</w:t>
        </w:r>
        <w:r>
          <w:rPr>
            <w:noProof/>
          </w:rPr>
          <w:fldChar w:fldCharType="end"/>
        </w:r>
      </w:p>
    </w:sdtContent>
  </w:sdt>
  <w:p w14:paraId="79542E1F" w14:textId="77777777" w:rsidR="000A1ADE" w:rsidRDefault="000A1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22EDB" w14:textId="77777777" w:rsidR="000A1ADE" w:rsidRDefault="000A1ADE" w:rsidP="000A1ADE">
      <w:pPr>
        <w:spacing w:after="0" w:line="240" w:lineRule="auto"/>
      </w:pPr>
      <w:r>
        <w:separator/>
      </w:r>
    </w:p>
  </w:footnote>
  <w:footnote w:type="continuationSeparator" w:id="0">
    <w:p w14:paraId="06F3AC6C" w14:textId="77777777" w:rsidR="000A1ADE" w:rsidRDefault="000A1ADE" w:rsidP="000A1ADE">
      <w:pPr>
        <w:spacing w:after="0" w:line="240" w:lineRule="auto"/>
      </w:pPr>
      <w:r>
        <w:continuationSeparator/>
      </w:r>
    </w:p>
  </w:footnote>
  <w:footnote w:id="1">
    <w:p w14:paraId="5FF01FAF" w14:textId="7D6051F6" w:rsidR="0059176D" w:rsidRDefault="0059176D">
      <w:pPr>
        <w:pStyle w:val="FootnoteText"/>
      </w:pPr>
      <w:r>
        <w:rPr>
          <w:rStyle w:val="FootnoteReference"/>
        </w:rPr>
        <w:footnoteRef/>
      </w:r>
      <w:r>
        <w:t xml:space="preserve"> Schindler, Janine, MCC, </w:t>
      </w:r>
      <w:r w:rsidRPr="0059176D">
        <w:rPr>
          <w:i/>
          <w:iCs/>
        </w:rPr>
        <w:t xml:space="preserve">Equity </w:t>
      </w:r>
      <w:proofErr w:type="gramStart"/>
      <w:r w:rsidRPr="0059176D">
        <w:rPr>
          <w:i/>
          <w:iCs/>
        </w:rPr>
        <w:t>And</w:t>
      </w:r>
      <w:proofErr w:type="gramEnd"/>
      <w:r w:rsidRPr="0059176D">
        <w:rPr>
          <w:i/>
          <w:iCs/>
        </w:rPr>
        <w:t xml:space="preserve"> Accessibility in the Workplace</w:t>
      </w:r>
      <w:r>
        <w:t>, November 11, 2020</w:t>
      </w:r>
      <w:r w:rsidR="001774BD">
        <w:t xml:space="preserve">. </w:t>
      </w:r>
      <w:hyperlink r:id="rId1" w:history="1">
        <w:r w:rsidRPr="00E6325C">
          <w:rPr>
            <w:rStyle w:val="Hyperlink"/>
          </w:rPr>
          <w:t>https://forbes.com/sites/forbescoachescouncil/2020</w:t>
        </w:r>
      </w:hyperlink>
      <w:r>
        <w:tab/>
      </w:r>
    </w:p>
  </w:footnote>
  <w:footnote w:id="2">
    <w:p w14:paraId="1E1CFCC4" w14:textId="378C582D" w:rsidR="0059176D" w:rsidRDefault="0059176D">
      <w:pPr>
        <w:pStyle w:val="FootnoteText"/>
      </w:pPr>
      <w:r>
        <w:rPr>
          <w:rStyle w:val="FootnoteReference"/>
        </w:rPr>
        <w:footnoteRef/>
      </w:r>
      <w:r>
        <w:t xml:space="preserve"> Watson, Holly, </w:t>
      </w:r>
      <w:proofErr w:type="spellStart"/>
      <w:r w:rsidRPr="00AA3C10">
        <w:rPr>
          <w:i/>
          <w:iCs/>
        </w:rPr>
        <w:t>Webrecruit</w:t>
      </w:r>
      <w:proofErr w:type="spellEnd"/>
      <w:r w:rsidRPr="00AA3C10">
        <w:rPr>
          <w:i/>
          <w:iCs/>
        </w:rPr>
        <w:t xml:space="preserve"> 3 Common Barriers to Equality, Diversity &amp; Inclusion Initiatives</w:t>
      </w:r>
      <w:r w:rsidR="00AA3C10">
        <w:t>, March 17, 2021</w:t>
      </w:r>
    </w:p>
    <w:p w14:paraId="1E1F804E" w14:textId="1DAD8707" w:rsidR="00AA3C10" w:rsidRPr="00AA3C10" w:rsidRDefault="009122E8">
      <w:pPr>
        <w:pStyle w:val="FootnoteText"/>
      </w:pPr>
      <w:hyperlink r:id="rId2" w:history="1">
        <w:r w:rsidR="00AA3C10" w:rsidRPr="00E6325C">
          <w:rPr>
            <w:rStyle w:val="Hyperlink"/>
          </w:rPr>
          <w:t>https://webrecruit.co/blog/recruitment-insights/3-common-barriers-to-equality-diversity-inclusion-initiatives</w:t>
        </w:r>
      </w:hyperlink>
      <w:r w:rsidR="00AA3C10">
        <w:tab/>
      </w:r>
    </w:p>
  </w:footnote>
  <w:footnote w:id="3">
    <w:p w14:paraId="2D353CF7" w14:textId="17167334" w:rsidR="00AA3C10" w:rsidRDefault="00AA3C10">
      <w:pPr>
        <w:pStyle w:val="FootnoteText"/>
      </w:pPr>
      <w:r>
        <w:rPr>
          <w:rStyle w:val="FootnoteReference"/>
        </w:rPr>
        <w:footnoteRef/>
      </w:r>
      <w:r>
        <w:t xml:space="preserve"> Livingston, Robert, “How to Promote Racial Equity in the Workplace,”</w:t>
      </w:r>
      <w:r w:rsidRPr="00AA3C10">
        <w:t xml:space="preserve"> </w:t>
      </w:r>
      <w:r w:rsidRPr="00AA3C10">
        <w:rPr>
          <w:i/>
          <w:iCs/>
        </w:rPr>
        <w:t>Harvard Business Review</w:t>
      </w:r>
      <w:r>
        <w:t>, September – October 2020</w:t>
      </w:r>
      <w:r w:rsidR="001774BD">
        <w:t xml:space="preserve">. </w:t>
      </w:r>
      <w:hyperlink r:id="rId3" w:history="1">
        <w:r w:rsidRPr="00E6325C">
          <w:rPr>
            <w:rStyle w:val="Hyperlink"/>
          </w:rPr>
          <w:t>https://hbr.org/2020/09/how-to-promote-racial-equity-in-the-workplace</w:t>
        </w:r>
      </w:hyperlink>
      <w:r>
        <w:tab/>
      </w:r>
    </w:p>
  </w:footnote>
  <w:footnote w:id="4">
    <w:p w14:paraId="3AD000AD" w14:textId="75AE073D" w:rsidR="006F1D86" w:rsidRPr="006F1D86" w:rsidRDefault="006F1D86" w:rsidP="006F1D86">
      <w:pPr>
        <w:pStyle w:val="FootnoteText"/>
      </w:pPr>
      <w:bookmarkStart w:id="0" w:name="_Hlk79502299"/>
      <w:r>
        <w:rPr>
          <w:rStyle w:val="FootnoteReference"/>
        </w:rPr>
        <w:footnoteRef/>
      </w:r>
      <w:r>
        <w:t xml:space="preserve"> American Psychiatric Association, Division of Diversity and Health Equity, </w:t>
      </w:r>
      <w:r w:rsidRPr="006F1D86">
        <w:rPr>
          <w:i/>
          <w:iCs/>
        </w:rPr>
        <w:t>Mental Health Disparities: Women’s Mental Health</w:t>
      </w:r>
      <w:r>
        <w:t xml:space="preserve">, Updated and Reviewed by Misty Richards, M.D., Maureen </w:t>
      </w:r>
      <w:proofErr w:type="spellStart"/>
      <w:r>
        <w:t>Sayres</w:t>
      </w:r>
      <w:proofErr w:type="spellEnd"/>
      <w:r>
        <w:t xml:space="preserve"> Van Neil, M.D., and the Council on Minority Mental Health and Health Disparities, 2017.</w:t>
      </w:r>
      <w:r w:rsidR="001774BD">
        <w:t xml:space="preserve"> </w:t>
      </w:r>
      <w:bookmarkEnd w:id="0"/>
      <w:r>
        <w:fldChar w:fldCharType="begin"/>
      </w:r>
      <w:r>
        <w:instrText xml:space="preserve"> HYPERLINK "https://psychiatry.org" </w:instrText>
      </w:r>
      <w:r>
        <w:fldChar w:fldCharType="separate"/>
      </w:r>
      <w:r w:rsidRPr="00E6325C">
        <w:rPr>
          <w:rStyle w:val="Hyperlink"/>
        </w:rPr>
        <w:t>https://psychiatry.org</w:t>
      </w:r>
      <w:r>
        <w:fldChar w:fldCharType="end"/>
      </w:r>
      <w:r>
        <w:tab/>
      </w:r>
    </w:p>
  </w:footnote>
  <w:footnote w:id="5">
    <w:p w14:paraId="3C67E6EF" w14:textId="52CB514C" w:rsidR="006F1D86" w:rsidRDefault="006F1D86" w:rsidP="006F1D86">
      <w:pPr>
        <w:pStyle w:val="FootnoteText"/>
      </w:pPr>
      <w:r>
        <w:rPr>
          <w:rStyle w:val="FootnoteReference"/>
        </w:rPr>
        <w:footnoteRef/>
      </w:r>
      <w:r>
        <w:t xml:space="preserve"> American Psychiatric Association, Division of Diversity and Health Equity, </w:t>
      </w:r>
      <w:r w:rsidRPr="006F1D86">
        <w:rPr>
          <w:i/>
          <w:iCs/>
        </w:rPr>
        <w:t xml:space="preserve">Mental Health Disparities: </w:t>
      </w:r>
      <w:r>
        <w:rPr>
          <w:i/>
          <w:iCs/>
        </w:rPr>
        <w:t>African Americans</w:t>
      </w:r>
      <w:r>
        <w:t xml:space="preserve">, Updated by Phillip Murray, M.D., and Reviewed by Danielle </w:t>
      </w:r>
      <w:proofErr w:type="spellStart"/>
      <w:r>
        <w:t>Hairstrom</w:t>
      </w:r>
      <w:proofErr w:type="spellEnd"/>
      <w:r>
        <w:t>, M.D. and the Council on Minority Mental Health and Health Disparities, 2017.</w:t>
      </w:r>
      <w:r w:rsidR="001774BD">
        <w:t xml:space="preserve"> </w:t>
      </w:r>
      <w:hyperlink r:id="rId4" w:history="1">
        <w:r w:rsidRPr="00E6325C">
          <w:rPr>
            <w:rStyle w:val="Hyperlink"/>
          </w:rPr>
          <w:t>https://psychiarty.org</w:t>
        </w:r>
      </w:hyperlink>
      <w:r>
        <w:tab/>
      </w:r>
    </w:p>
    <w:p w14:paraId="76EB5FDD" w14:textId="035CDF8E" w:rsidR="006F1D86" w:rsidRDefault="006F1D86">
      <w:pPr>
        <w:pStyle w:val="FootnoteText"/>
      </w:pPr>
    </w:p>
  </w:footnote>
  <w:footnote w:id="6">
    <w:p w14:paraId="37C264D4" w14:textId="70390F5D" w:rsidR="006F1D86" w:rsidRDefault="006F1D86">
      <w:pPr>
        <w:pStyle w:val="FootnoteText"/>
      </w:pPr>
      <w:r>
        <w:rPr>
          <w:rStyle w:val="FootnoteReference"/>
        </w:rPr>
        <w:footnoteRef/>
      </w:r>
      <w:r>
        <w:t xml:space="preserve"> American Psychiatric Association, Division of Diversity and Health Equity, </w:t>
      </w:r>
      <w:r w:rsidRPr="006F1D86">
        <w:rPr>
          <w:i/>
          <w:iCs/>
        </w:rPr>
        <w:t xml:space="preserve">Mental Health Disparities: </w:t>
      </w:r>
      <w:r>
        <w:rPr>
          <w:i/>
          <w:iCs/>
        </w:rPr>
        <w:t>Asian Americans/Pacific Islanders</w:t>
      </w:r>
      <w:r w:rsidR="0021061D">
        <w:t xml:space="preserve">, Authored by </w:t>
      </w:r>
      <w:proofErr w:type="spellStart"/>
      <w:r w:rsidR="0021061D">
        <w:t>Raissa</w:t>
      </w:r>
      <w:proofErr w:type="spellEnd"/>
      <w:r w:rsidR="0021061D">
        <w:t xml:space="preserve"> </w:t>
      </w:r>
      <w:proofErr w:type="spellStart"/>
      <w:r w:rsidR="0021061D">
        <w:t>Tanqueco</w:t>
      </w:r>
      <w:proofErr w:type="spellEnd"/>
      <w:r w:rsidR="0021061D">
        <w:t xml:space="preserve">, M.D. and </w:t>
      </w:r>
      <w:proofErr w:type="spellStart"/>
      <w:r w:rsidR="0021061D">
        <w:t>Sejal</w:t>
      </w:r>
      <w:proofErr w:type="spellEnd"/>
      <w:r w:rsidR="0021061D">
        <w:t xml:space="preserve"> Patel, M.P.H. and Reviewed by </w:t>
      </w:r>
      <w:proofErr w:type="spellStart"/>
      <w:r w:rsidR="0021061D">
        <w:t>Vabren</w:t>
      </w:r>
      <w:proofErr w:type="spellEnd"/>
      <w:r w:rsidR="0021061D">
        <w:t xml:space="preserve"> Watts, Ph. D.</w:t>
      </w:r>
      <w:r>
        <w:t>, 2017.</w:t>
      </w:r>
      <w:r w:rsidR="00AE5DDA">
        <w:t xml:space="preserve"> </w:t>
      </w:r>
      <w:hyperlink r:id="rId5" w:history="1">
        <w:r w:rsidR="0021061D" w:rsidRPr="00E6325C">
          <w:rPr>
            <w:rStyle w:val="Hyperlink"/>
          </w:rPr>
          <w:t>https://psychiatry.org</w:t>
        </w:r>
      </w:hyperlink>
      <w:r w:rsidR="0021061D">
        <w:tab/>
      </w:r>
    </w:p>
  </w:footnote>
  <w:footnote w:id="7">
    <w:p w14:paraId="7A9D25F6" w14:textId="6D16805B" w:rsidR="0021061D" w:rsidRDefault="0021061D">
      <w:pPr>
        <w:pStyle w:val="FootnoteText"/>
      </w:pPr>
      <w:bookmarkStart w:id="1" w:name="_Hlk79502900"/>
      <w:r>
        <w:rPr>
          <w:rStyle w:val="FootnoteReference"/>
        </w:rPr>
        <w:footnoteRef/>
      </w:r>
      <w:r>
        <w:t xml:space="preserve"> American Psychiatric Association, Division of Diversity and Health Equity, </w:t>
      </w:r>
      <w:r w:rsidRPr="006F1D86">
        <w:rPr>
          <w:i/>
          <w:iCs/>
        </w:rPr>
        <w:t xml:space="preserve">Mental Health Disparities: </w:t>
      </w:r>
      <w:r>
        <w:rPr>
          <w:i/>
          <w:iCs/>
        </w:rPr>
        <w:t>Hispanics and Latinos</w:t>
      </w:r>
      <w:r>
        <w:t xml:space="preserve">, Updated and Reviewed Respectively by Maria Jose </w:t>
      </w:r>
      <w:proofErr w:type="spellStart"/>
      <w:r>
        <w:t>Lisotto</w:t>
      </w:r>
      <w:proofErr w:type="spellEnd"/>
      <w:r>
        <w:t>, M.D. and the Council on Minority Mental Health and Health Disparities, 2017.</w:t>
      </w:r>
      <w:bookmarkEnd w:id="1"/>
      <w:r w:rsidR="00AE5DDA">
        <w:t xml:space="preserve"> </w:t>
      </w:r>
      <w:hyperlink r:id="rId6" w:history="1">
        <w:r w:rsidRPr="00E6325C">
          <w:rPr>
            <w:rStyle w:val="Hyperlink"/>
          </w:rPr>
          <w:t>https://psychiatry.org</w:t>
        </w:r>
      </w:hyperlink>
      <w:r>
        <w:tab/>
      </w:r>
      <w:r>
        <w:tab/>
      </w:r>
    </w:p>
  </w:footnote>
  <w:footnote w:id="8">
    <w:p w14:paraId="30BAAFD9" w14:textId="2AF854E6" w:rsidR="0021061D" w:rsidRDefault="0021061D" w:rsidP="0021061D">
      <w:pPr>
        <w:pStyle w:val="FootnoteText"/>
      </w:pPr>
      <w:r>
        <w:rPr>
          <w:rStyle w:val="FootnoteReference"/>
        </w:rPr>
        <w:footnoteRef/>
      </w:r>
      <w:r>
        <w:t xml:space="preserve"> American Psychiatric Association, Division of Diversity and Health Equity, </w:t>
      </w:r>
      <w:r w:rsidRPr="006F1D86">
        <w:rPr>
          <w:i/>
          <w:iCs/>
        </w:rPr>
        <w:t xml:space="preserve">Mental Health Disparities: </w:t>
      </w:r>
      <w:r>
        <w:rPr>
          <w:i/>
          <w:iCs/>
        </w:rPr>
        <w:t>American Indians and Alaskan Natives</w:t>
      </w:r>
      <w:r>
        <w:t xml:space="preserve">, Updated by Mira </w:t>
      </w:r>
      <w:proofErr w:type="spellStart"/>
      <w:r>
        <w:t>Zein</w:t>
      </w:r>
      <w:proofErr w:type="spellEnd"/>
      <w:r>
        <w:t xml:space="preserve">, M.D., M.P.H., and Reviewed by Mary </w:t>
      </w:r>
      <w:proofErr w:type="spellStart"/>
      <w:r>
        <w:t>Roessel</w:t>
      </w:r>
      <w:proofErr w:type="spellEnd"/>
      <w:r>
        <w:t>, M.D. and the Council on Minority Mental Health and Health Disparities, 2017.</w:t>
      </w:r>
      <w:r w:rsidR="00AE5DDA">
        <w:t xml:space="preserve"> </w:t>
      </w:r>
      <w:hyperlink r:id="rId7" w:history="1">
        <w:r w:rsidRPr="00E6325C">
          <w:rPr>
            <w:rStyle w:val="Hyperlink"/>
          </w:rPr>
          <w:t>https://psychiatry.org</w:t>
        </w:r>
      </w:hyperlink>
      <w:r>
        <w:tab/>
      </w:r>
    </w:p>
    <w:p w14:paraId="6BEECAEC" w14:textId="0844B24B" w:rsidR="0021061D" w:rsidRDefault="0021061D">
      <w:pPr>
        <w:pStyle w:val="FootnoteText"/>
      </w:pPr>
    </w:p>
  </w:footnote>
  <w:footnote w:id="9">
    <w:p w14:paraId="0D000C0C" w14:textId="46F0F908" w:rsidR="0021061D" w:rsidRDefault="0021061D">
      <w:pPr>
        <w:pStyle w:val="FootnoteText"/>
      </w:pPr>
      <w:r>
        <w:rPr>
          <w:rStyle w:val="FootnoteReference"/>
        </w:rPr>
        <w:footnoteRef/>
      </w:r>
      <w:r>
        <w:t xml:space="preserve"> American Psychiatric Association, Division of Diversity and Health Equity, </w:t>
      </w:r>
      <w:r w:rsidRPr="006F1D86">
        <w:rPr>
          <w:i/>
          <w:iCs/>
        </w:rPr>
        <w:t xml:space="preserve">Mental Health Disparities: </w:t>
      </w:r>
      <w:r>
        <w:rPr>
          <w:i/>
          <w:iCs/>
        </w:rPr>
        <w:t>Gay Populations</w:t>
      </w:r>
      <w:r>
        <w:t xml:space="preserve">, Authored by Mark </w:t>
      </w:r>
      <w:proofErr w:type="spellStart"/>
      <w:r>
        <w:t>Messih</w:t>
      </w:r>
      <w:proofErr w:type="spellEnd"/>
      <w:r>
        <w:t>, M.D., M.S.C. and Reviewed by Eric Yarbrough, M.D., 2017.</w:t>
      </w:r>
      <w:r w:rsidR="001774BD">
        <w:t xml:space="preserve"> </w:t>
      </w:r>
      <w:hyperlink r:id="rId8" w:history="1">
        <w:r w:rsidRPr="00E6325C">
          <w:rPr>
            <w:rStyle w:val="Hyperlink"/>
          </w:rPr>
          <w:t>https://psychiatry.org</w:t>
        </w:r>
      </w:hyperlink>
    </w:p>
  </w:footnote>
  <w:footnote w:id="10">
    <w:p w14:paraId="66B1C5EC" w14:textId="552FEDB2" w:rsidR="0021061D" w:rsidRDefault="0021061D">
      <w:pPr>
        <w:pStyle w:val="FootnoteText"/>
      </w:pPr>
      <w:r>
        <w:rPr>
          <w:rStyle w:val="FootnoteReference"/>
        </w:rPr>
        <w:footnoteRef/>
      </w:r>
      <w:r>
        <w:t xml:space="preserve">  American Psychiatric Association, Division of Diversity and Health Equity, </w:t>
      </w:r>
      <w:r w:rsidRPr="006F1D86">
        <w:rPr>
          <w:i/>
          <w:iCs/>
        </w:rPr>
        <w:t xml:space="preserve">Mental Health Disparities: </w:t>
      </w:r>
      <w:r>
        <w:rPr>
          <w:i/>
          <w:iCs/>
        </w:rPr>
        <w:t>Bisexual Populations</w:t>
      </w:r>
      <w:r>
        <w:t>, Authored by Sarah Noble, M.D., and Reviewed by Eric Yarbrough</w:t>
      </w:r>
      <w:r w:rsidR="0066709D">
        <w:t xml:space="preserve">, M.D., and </w:t>
      </w:r>
      <w:proofErr w:type="spellStart"/>
      <w:r w:rsidR="0066709D">
        <w:t>Sejal</w:t>
      </w:r>
      <w:proofErr w:type="spellEnd"/>
      <w:r w:rsidR="0066709D">
        <w:t xml:space="preserve"> Patel, M.P.H.</w:t>
      </w:r>
      <w:r>
        <w:t>, 2017.</w:t>
      </w:r>
      <w:r w:rsidR="001774BD">
        <w:t xml:space="preserve"> </w:t>
      </w:r>
      <w:hyperlink r:id="rId9" w:history="1">
        <w:r w:rsidR="0066709D" w:rsidRPr="00E6325C">
          <w:rPr>
            <w:rStyle w:val="Hyperlink"/>
          </w:rPr>
          <w:t>https://psychiatry.org</w:t>
        </w:r>
      </w:hyperlink>
    </w:p>
  </w:footnote>
  <w:footnote w:id="11">
    <w:p w14:paraId="458BA149" w14:textId="6C89FA16" w:rsidR="0066709D" w:rsidRDefault="0066709D" w:rsidP="0066709D">
      <w:pPr>
        <w:pStyle w:val="FootnoteText"/>
      </w:pPr>
      <w:r>
        <w:rPr>
          <w:rStyle w:val="FootnoteReference"/>
        </w:rPr>
        <w:footnoteRef/>
      </w:r>
      <w:r>
        <w:t xml:space="preserve"> American Psychiatric Association, Division of Diversity and Health Equity, </w:t>
      </w:r>
      <w:r w:rsidRPr="006F1D86">
        <w:rPr>
          <w:i/>
          <w:iCs/>
        </w:rPr>
        <w:t xml:space="preserve">Mental Health Disparities: </w:t>
      </w:r>
      <w:r>
        <w:rPr>
          <w:i/>
          <w:iCs/>
        </w:rPr>
        <w:t>Questioning/Queer Population</w:t>
      </w:r>
      <w:r>
        <w:t xml:space="preserve">, Authored by Dr. Kali Cyrus and Catherine Morrison and Reviewed by Drs. Eric Yarbrough, Andrew Tompkins, Jeremy Kidd and </w:t>
      </w:r>
      <w:proofErr w:type="spellStart"/>
      <w:r>
        <w:t>Daena</w:t>
      </w:r>
      <w:proofErr w:type="spellEnd"/>
      <w:r>
        <w:t xml:space="preserve"> Petersen, 2017.</w:t>
      </w:r>
      <w:r w:rsidR="001774BD">
        <w:t xml:space="preserve"> </w:t>
      </w:r>
      <w:hyperlink r:id="rId10" w:history="1">
        <w:r w:rsidRPr="00E6325C">
          <w:rPr>
            <w:rStyle w:val="Hyperlink"/>
          </w:rPr>
          <w:t>https://psychiatry.org</w:t>
        </w:r>
      </w:hyperlink>
      <w:r>
        <w:tab/>
      </w:r>
    </w:p>
    <w:p w14:paraId="076F0306" w14:textId="16F1DEBD" w:rsidR="0066709D" w:rsidRDefault="0066709D">
      <w:pPr>
        <w:pStyle w:val="FootnoteText"/>
      </w:pPr>
    </w:p>
  </w:footnote>
  <w:footnote w:id="12">
    <w:p w14:paraId="34640F86" w14:textId="391DC2AA" w:rsidR="0066709D" w:rsidRDefault="0066709D">
      <w:pPr>
        <w:pStyle w:val="FootnoteText"/>
      </w:pPr>
      <w:r>
        <w:rPr>
          <w:rStyle w:val="FootnoteReference"/>
        </w:rPr>
        <w:footnoteRef/>
      </w:r>
      <w:r>
        <w:t xml:space="preserve"> American Psychiatric Association, Division of Diversity and Health Equity, </w:t>
      </w:r>
      <w:r w:rsidRPr="006F1D86">
        <w:rPr>
          <w:i/>
          <w:iCs/>
        </w:rPr>
        <w:t xml:space="preserve">Mental Health Disparities: </w:t>
      </w:r>
      <w:r>
        <w:rPr>
          <w:i/>
          <w:iCs/>
        </w:rPr>
        <w:t>Appalachian People</w:t>
      </w:r>
      <w:r>
        <w:t>, Authored by Myra Elder, Ph.D. and Diana Robinson, M.D. and Reviewed by Richard L. Merkel, Jr., M.D., Ph.D. and James Griffith, M.D., 2017.</w:t>
      </w:r>
      <w:r w:rsidR="00AE5DDA">
        <w:t xml:space="preserve"> </w:t>
      </w:r>
      <w:hyperlink r:id="rId11" w:history="1">
        <w:r w:rsidRPr="00E6325C">
          <w:rPr>
            <w:rStyle w:val="Hyperlink"/>
          </w:rPr>
          <w:t>https://psychiatry.org</w:t>
        </w:r>
      </w:hyperlink>
      <w:r>
        <w:tab/>
      </w:r>
    </w:p>
  </w:footnote>
  <w:footnote w:id="13">
    <w:p w14:paraId="3312A6C1" w14:textId="45C1CFB2" w:rsidR="0066709D" w:rsidRDefault="0066709D">
      <w:pPr>
        <w:pStyle w:val="FootnoteText"/>
      </w:pPr>
      <w:r>
        <w:rPr>
          <w:rStyle w:val="FootnoteReference"/>
        </w:rPr>
        <w:footnoteRef/>
      </w:r>
      <w:r>
        <w:t xml:space="preserve"> American Psychiatric Association, Division of Diversity and Health Equity, </w:t>
      </w:r>
      <w:r w:rsidRPr="006F1D86">
        <w:rPr>
          <w:i/>
          <w:iCs/>
        </w:rPr>
        <w:t xml:space="preserve">Mental Health Disparities: </w:t>
      </w:r>
      <w:r>
        <w:rPr>
          <w:i/>
          <w:iCs/>
        </w:rPr>
        <w:t>Muslim Americans</w:t>
      </w:r>
      <w:r>
        <w:t xml:space="preserve">, Authored by Drs. </w:t>
      </w:r>
      <w:proofErr w:type="spellStart"/>
      <w:r>
        <w:t>Awais</w:t>
      </w:r>
      <w:proofErr w:type="spellEnd"/>
      <w:r>
        <w:t xml:space="preserve"> </w:t>
      </w:r>
      <w:proofErr w:type="spellStart"/>
      <w:r>
        <w:t>Aftab</w:t>
      </w:r>
      <w:proofErr w:type="spellEnd"/>
      <w:r>
        <w:t xml:space="preserve"> and </w:t>
      </w:r>
      <w:proofErr w:type="spellStart"/>
      <w:r>
        <w:t>Chandan</w:t>
      </w:r>
      <w:proofErr w:type="spellEnd"/>
      <w:r>
        <w:t xml:space="preserve"> </w:t>
      </w:r>
      <w:proofErr w:type="spellStart"/>
      <w:r>
        <w:t>Khandai</w:t>
      </w:r>
      <w:proofErr w:type="spellEnd"/>
      <w:r>
        <w:t xml:space="preserve">, and Reviewed by Drs. </w:t>
      </w:r>
      <w:proofErr w:type="spellStart"/>
      <w:r>
        <w:t>Balkozar</w:t>
      </w:r>
      <w:proofErr w:type="spellEnd"/>
      <w:r>
        <w:t xml:space="preserve"> Adam and Rania </w:t>
      </w:r>
      <w:proofErr w:type="spellStart"/>
      <w:r>
        <w:t>Awaad</w:t>
      </w:r>
      <w:proofErr w:type="spellEnd"/>
      <w:r>
        <w:t>, 2017.</w:t>
      </w:r>
      <w:r w:rsidR="00AE5DDA">
        <w:t xml:space="preserve"> </w:t>
      </w:r>
      <w:hyperlink r:id="rId12" w:history="1">
        <w:r w:rsidRPr="00E6325C">
          <w:rPr>
            <w:rStyle w:val="Hyperlink"/>
          </w:rPr>
          <w:t>https://psychiatry.org</w:t>
        </w:r>
      </w:hyperlink>
      <w:r>
        <w:tab/>
      </w:r>
    </w:p>
  </w:footnote>
  <w:footnote w:id="14">
    <w:p w14:paraId="38B73392" w14:textId="2F329B78" w:rsidR="00033260" w:rsidRDefault="00033260">
      <w:pPr>
        <w:pStyle w:val="FootnoteText"/>
      </w:pPr>
      <w:r>
        <w:rPr>
          <w:rStyle w:val="FootnoteReference"/>
        </w:rPr>
        <w:footnoteRef/>
      </w:r>
      <w:r>
        <w:t xml:space="preserve"> ABA Profile of the Legal Profession: Diversity and Well-Being, 2020</w:t>
      </w:r>
    </w:p>
    <w:p w14:paraId="43831453" w14:textId="7565CF31" w:rsidR="00033260" w:rsidRDefault="009122E8">
      <w:pPr>
        <w:pStyle w:val="FootnoteText"/>
      </w:pPr>
      <w:hyperlink r:id="rId13" w:history="1">
        <w:r w:rsidR="00033260" w:rsidRPr="00E6325C">
          <w:rPr>
            <w:rStyle w:val="Hyperlink"/>
          </w:rPr>
          <w:t>https://www.2civility.org/aba-profile-of-the-legal-profession-diversity-and-well-being/#</w:t>
        </w:r>
      </w:hyperlink>
      <w:r w:rsidR="00033260">
        <w:tab/>
      </w:r>
      <w:r w:rsidR="00033260">
        <w:tab/>
      </w:r>
    </w:p>
  </w:footnote>
  <w:footnote w:id="15">
    <w:p w14:paraId="4F323DFB" w14:textId="55C14E06" w:rsidR="00033260" w:rsidRDefault="00033260">
      <w:pPr>
        <w:pStyle w:val="FootnoteText"/>
      </w:pPr>
      <w:r>
        <w:rPr>
          <w:rStyle w:val="FootnoteReference"/>
        </w:rPr>
        <w:footnoteRef/>
      </w:r>
      <w:r>
        <w:t xml:space="preserve"> The Report of the National Task Force on Lawyer Well-Being, “The Path to Lawyer Well-Being: Practical Recommendations for Positive Change” Task Force Chairs: Bree Buchanan and James C. Coyle, August 2017.</w:t>
      </w:r>
    </w:p>
    <w:p w14:paraId="73DB1857" w14:textId="4A66E8D3" w:rsidR="00033260" w:rsidRDefault="009122E8">
      <w:pPr>
        <w:pStyle w:val="FootnoteText"/>
      </w:pPr>
      <w:hyperlink r:id="rId14" w:history="1">
        <w:r w:rsidR="009F3C60" w:rsidRPr="00E6325C">
          <w:rPr>
            <w:rStyle w:val="Hyperlink"/>
          </w:rPr>
          <w:t>https://www.americanbar.org/groups/professional_responsibility/task_force_lawyer_wellbeing</w:t>
        </w:r>
      </w:hyperlink>
      <w:r w:rsidR="009F3C60">
        <w:tab/>
      </w:r>
    </w:p>
  </w:footnote>
  <w:footnote w:id="16">
    <w:p w14:paraId="0E260ABA" w14:textId="2D1B0146" w:rsidR="009F3C60" w:rsidRDefault="009F3C60">
      <w:pPr>
        <w:pStyle w:val="FootnoteText"/>
      </w:pPr>
      <w:r>
        <w:rPr>
          <w:rStyle w:val="FootnoteReference"/>
        </w:rPr>
        <w:footnoteRef/>
      </w:r>
      <w:r>
        <w:t xml:space="preserve"> Hunt, Vivian, Layton, Dennis, and Prince, Sara, Why Diversity Matters, McKinsey &amp; Company, January, 2015.</w:t>
      </w:r>
    </w:p>
    <w:p w14:paraId="5CB4BAFD" w14:textId="3749B4A2" w:rsidR="009F3C60" w:rsidRDefault="009122E8">
      <w:pPr>
        <w:pStyle w:val="FootnoteText"/>
      </w:pPr>
      <w:hyperlink r:id="rId15" w:history="1">
        <w:r w:rsidR="009F3C60" w:rsidRPr="00E6325C">
          <w:rPr>
            <w:rStyle w:val="Hyperlink"/>
          </w:rPr>
          <w:t>https://www.mckinsey.com/business-functions/organization</w:t>
        </w:r>
      </w:hyperlink>
      <w:r w:rsidR="009F3C60">
        <w:tab/>
      </w:r>
    </w:p>
  </w:footnote>
  <w:footnote w:id="17">
    <w:p w14:paraId="6A7B13BA" w14:textId="77777777" w:rsidR="009F3C60" w:rsidRDefault="009F3C60" w:rsidP="009F3C60">
      <w:pPr>
        <w:pStyle w:val="FootnoteText"/>
      </w:pPr>
      <w:r>
        <w:rPr>
          <w:rStyle w:val="FootnoteReference"/>
        </w:rPr>
        <w:footnoteRef/>
      </w:r>
      <w:r>
        <w:t xml:space="preserve"> The Report of the National Task Force on Lawyer Well-Being, “The Path to Lawyer Well-Being: Practical Recommendations for Positive Change” Task Force Chairs: Bree Buchanan and James C. Coyle, August 2017.</w:t>
      </w:r>
    </w:p>
    <w:p w14:paraId="63425D65" w14:textId="61D0F2A7" w:rsidR="009F3C60" w:rsidRDefault="009122E8" w:rsidP="009F3C60">
      <w:pPr>
        <w:pStyle w:val="FootnoteText"/>
      </w:pPr>
      <w:hyperlink r:id="rId16" w:history="1">
        <w:r w:rsidR="009F3C60" w:rsidRPr="00E6325C">
          <w:rPr>
            <w:rStyle w:val="Hyperlink"/>
          </w:rPr>
          <w:t>https://www.americanbar.org/groups/professional_responsibility/task_force_lawyer_wellbeing</w:t>
        </w:r>
      </w:hyperlink>
      <w:r w:rsidR="009F3C60">
        <w:t xml:space="preserve"> (provides source data for IV (a) through IV (n))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5D17"/>
    <w:multiLevelType w:val="hybridMultilevel"/>
    <w:tmpl w:val="EDCE77F4"/>
    <w:lvl w:ilvl="0" w:tplc="04090001">
      <w:start w:val="1"/>
      <w:numFmt w:val="bullet"/>
      <w:lvlText w:val=""/>
      <w:lvlJc w:val="left"/>
      <w:pPr>
        <w:ind w:left="720" w:hanging="360"/>
      </w:pPr>
      <w:rPr>
        <w:rFonts w:ascii="Symbol" w:hAnsi="Symbol" w:hint="default"/>
      </w:rPr>
    </w:lvl>
    <w:lvl w:ilvl="1" w:tplc="1A82449E">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3C1C33"/>
    <w:multiLevelType w:val="hybridMultilevel"/>
    <w:tmpl w:val="1128A5D2"/>
    <w:lvl w:ilvl="0" w:tplc="DA603BDE">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E111E"/>
    <w:multiLevelType w:val="hybridMultilevel"/>
    <w:tmpl w:val="DD9E94B0"/>
    <w:lvl w:ilvl="0" w:tplc="1A82449E">
      <w:start w:val="1"/>
      <w:numFmt w:val="bullet"/>
      <w:lvlText w:val="-"/>
      <w:lvlJc w:val="left"/>
      <w:pPr>
        <w:ind w:left="720" w:hanging="360"/>
      </w:pPr>
      <w:rPr>
        <w:rFonts w:ascii="Times New Roman" w:hAnsi="Times New Roman" w:cs="Times New Roman" w:hint="default"/>
      </w:rPr>
    </w:lvl>
    <w:lvl w:ilvl="1" w:tplc="1A82449E">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F7415D"/>
    <w:multiLevelType w:val="hybridMultilevel"/>
    <w:tmpl w:val="BFB8723E"/>
    <w:lvl w:ilvl="0" w:tplc="DA603BDE">
      <w:start w:val="1"/>
      <w:numFmt w:val="upperRoman"/>
      <w:lvlText w:val="%1."/>
      <w:lvlJc w:val="left"/>
      <w:pPr>
        <w:ind w:left="234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2DE73E16"/>
    <w:multiLevelType w:val="hybridMultilevel"/>
    <w:tmpl w:val="07B03670"/>
    <w:lvl w:ilvl="0" w:tplc="DA603BD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B47366"/>
    <w:multiLevelType w:val="hybridMultilevel"/>
    <w:tmpl w:val="08449C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8D42E90"/>
    <w:multiLevelType w:val="hybridMultilevel"/>
    <w:tmpl w:val="67C8F2C6"/>
    <w:lvl w:ilvl="0" w:tplc="C874B3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lvlOverride w:ilvl="0"/>
    <w:lvlOverride w:ilvl="1"/>
    <w:lvlOverride w:ilvl="2"/>
    <w:lvlOverride w:ilvl="3"/>
    <w:lvlOverride w:ilvl="4"/>
    <w:lvlOverride w:ilvl="5"/>
    <w:lvlOverride w:ilvl="6"/>
    <w:lvlOverride w:ilvl="7"/>
    <w:lvlOverride w:ilvl="8"/>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D1"/>
    <w:rsid w:val="00033260"/>
    <w:rsid w:val="00040D5B"/>
    <w:rsid w:val="00083F32"/>
    <w:rsid w:val="000A1ADE"/>
    <w:rsid w:val="000D44F7"/>
    <w:rsid w:val="000E778D"/>
    <w:rsid w:val="000F2159"/>
    <w:rsid w:val="001774BD"/>
    <w:rsid w:val="0021061D"/>
    <w:rsid w:val="00253C3C"/>
    <w:rsid w:val="002B1913"/>
    <w:rsid w:val="00313248"/>
    <w:rsid w:val="00422B28"/>
    <w:rsid w:val="004526C6"/>
    <w:rsid w:val="00522CED"/>
    <w:rsid w:val="00591636"/>
    <w:rsid w:val="0059176D"/>
    <w:rsid w:val="005B25A7"/>
    <w:rsid w:val="0066709D"/>
    <w:rsid w:val="006F1D86"/>
    <w:rsid w:val="00742A9B"/>
    <w:rsid w:val="007806DF"/>
    <w:rsid w:val="0078313E"/>
    <w:rsid w:val="00791CDB"/>
    <w:rsid w:val="00822C4C"/>
    <w:rsid w:val="0085020D"/>
    <w:rsid w:val="00851376"/>
    <w:rsid w:val="008D7FA3"/>
    <w:rsid w:val="008E36BB"/>
    <w:rsid w:val="009122E8"/>
    <w:rsid w:val="0092480A"/>
    <w:rsid w:val="009D2E51"/>
    <w:rsid w:val="009F3C60"/>
    <w:rsid w:val="00A84CB7"/>
    <w:rsid w:val="00AA3C10"/>
    <w:rsid w:val="00AB1A9B"/>
    <w:rsid w:val="00AE5DDA"/>
    <w:rsid w:val="00B0618B"/>
    <w:rsid w:val="00B6289B"/>
    <w:rsid w:val="00BA4389"/>
    <w:rsid w:val="00C11A71"/>
    <w:rsid w:val="00C70159"/>
    <w:rsid w:val="00C84975"/>
    <w:rsid w:val="00D2763C"/>
    <w:rsid w:val="00D45BCA"/>
    <w:rsid w:val="00D57095"/>
    <w:rsid w:val="00D727D1"/>
    <w:rsid w:val="00DC23B5"/>
    <w:rsid w:val="00DF5E68"/>
    <w:rsid w:val="00E015D5"/>
    <w:rsid w:val="00E502A0"/>
    <w:rsid w:val="00E613C1"/>
    <w:rsid w:val="00EB2AAF"/>
    <w:rsid w:val="00EC4A30"/>
    <w:rsid w:val="00ED1AD2"/>
    <w:rsid w:val="00F659FD"/>
    <w:rsid w:val="00F74EAB"/>
    <w:rsid w:val="00FC1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B543"/>
  <w15:chartTrackingRefBased/>
  <w15:docId w15:val="{E6D168DA-484E-4BB6-9100-ABFA0BE4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7D1"/>
    <w:pPr>
      <w:ind w:left="720"/>
      <w:contextualSpacing/>
    </w:pPr>
  </w:style>
  <w:style w:type="paragraph" w:styleId="Header">
    <w:name w:val="header"/>
    <w:basedOn w:val="Normal"/>
    <w:link w:val="HeaderChar"/>
    <w:uiPriority w:val="99"/>
    <w:unhideWhenUsed/>
    <w:rsid w:val="000A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ADE"/>
  </w:style>
  <w:style w:type="paragraph" w:styleId="Footer">
    <w:name w:val="footer"/>
    <w:basedOn w:val="Normal"/>
    <w:link w:val="FooterChar"/>
    <w:uiPriority w:val="99"/>
    <w:unhideWhenUsed/>
    <w:rsid w:val="000A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ADE"/>
  </w:style>
  <w:style w:type="paragraph" w:styleId="FootnoteText">
    <w:name w:val="footnote text"/>
    <w:basedOn w:val="Normal"/>
    <w:link w:val="FootnoteTextChar"/>
    <w:uiPriority w:val="99"/>
    <w:semiHidden/>
    <w:unhideWhenUsed/>
    <w:rsid w:val="005917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176D"/>
    <w:rPr>
      <w:sz w:val="20"/>
      <w:szCs w:val="20"/>
    </w:rPr>
  </w:style>
  <w:style w:type="character" w:styleId="FootnoteReference">
    <w:name w:val="footnote reference"/>
    <w:basedOn w:val="DefaultParagraphFont"/>
    <w:uiPriority w:val="99"/>
    <w:semiHidden/>
    <w:unhideWhenUsed/>
    <w:rsid w:val="0059176D"/>
    <w:rPr>
      <w:vertAlign w:val="superscript"/>
    </w:rPr>
  </w:style>
  <w:style w:type="character" w:styleId="Hyperlink">
    <w:name w:val="Hyperlink"/>
    <w:basedOn w:val="DefaultParagraphFont"/>
    <w:uiPriority w:val="99"/>
    <w:unhideWhenUsed/>
    <w:rsid w:val="0059176D"/>
    <w:rPr>
      <w:color w:val="0563C1" w:themeColor="hyperlink"/>
      <w:u w:val="single"/>
    </w:rPr>
  </w:style>
  <w:style w:type="character" w:customStyle="1" w:styleId="UnresolvedMention">
    <w:name w:val="Unresolved Mention"/>
    <w:basedOn w:val="DefaultParagraphFont"/>
    <w:uiPriority w:val="99"/>
    <w:semiHidden/>
    <w:unhideWhenUsed/>
    <w:rsid w:val="0059176D"/>
    <w:rPr>
      <w:color w:val="605E5C"/>
      <w:shd w:val="clear" w:color="auto" w:fill="E1DFDD"/>
    </w:rPr>
  </w:style>
  <w:style w:type="paragraph" w:styleId="NormalWeb">
    <w:name w:val="Normal (Web)"/>
    <w:basedOn w:val="Normal"/>
    <w:uiPriority w:val="99"/>
    <w:semiHidden/>
    <w:unhideWhenUsed/>
    <w:rsid w:val="00D45BC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067479">
      <w:bodyDiv w:val="1"/>
      <w:marLeft w:val="0"/>
      <w:marRight w:val="0"/>
      <w:marTop w:val="0"/>
      <w:marBottom w:val="0"/>
      <w:divBdr>
        <w:top w:val="none" w:sz="0" w:space="0" w:color="auto"/>
        <w:left w:val="none" w:sz="0" w:space="0" w:color="auto"/>
        <w:bottom w:val="none" w:sz="0" w:space="0" w:color="auto"/>
        <w:right w:val="none" w:sz="0" w:space="0" w:color="auto"/>
      </w:divBdr>
    </w:div>
    <w:div w:id="1165047282">
      <w:bodyDiv w:val="1"/>
      <w:marLeft w:val="0"/>
      <w:marRight w:val="0"/>
      <w:marTop w:val="0"/>
      <w:marBottom w:val="0"/>
      <w:divBdr>
        <w:top w:val="none" w:sz="0" w:space="0" w:color="auto"/>
        <w:left w:val="none" w:sz="0" w:space="0" w:color="auto"/>
        <w:bottom w:val="none" w:sz="0" w:space="0" w:color="auto"/>
        <w:right w:val="none" w:sz="0" w:space="0" w:color="auto"/>
      </w:divBdr>
    </w:div>
    <w:div w:id="130747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psychiatry.org" TargetMode="External"/><Relationship Id="rId13" Type="http://schemas.openxmlformats.org/officeDocument/2006/relationships/hyperlink" Target="https://www.2civility.org/aba-profile-of-the-legal-profession-diversity-and-well-being/" TargetMode="External"/><Relationship Id="rId3" Type="http://schemas.openxmlformats.org/officeDocument/2006/relationships/hyperlink" Target="https://hbr.org/2020/09/how-to-promote-racial-equity-in-the-workplace" TargetMode="External"/><Relationship Id="rId7" Type="http://schemas.openxmlformats.org/officeDocument/2006/relationships/hyperlink" Target="https://psychiatry.org" TargetMode="External"/><Relationship Id="rId12" Type="http://schemas.openxmlformats.org/officeDocument/2006/relationships/hyperlink" Target="https://psychiatry.org" TargetMode="External"/><Relationship Id="rId2" Type="http://schemas.openxmlformats.org/officeDocument/2006/relationships/hyperlink" Target="https://webrecruit.co/blog/recruitment-insights/3-common-barriers-to-equality-diversity-inclusion-initiatives" TargetMode="External"/><Relationship Id="rId16" Type="http://schemas.openxmlformats.org/officeDocument/2006/relationships/hyperlink" Target="https://www.americanbar.org/groups/professional_responsibility/task_force_lawyer_wellbeing" TargetMode="External"/><Relationship Id="rId1" Type="http://schemas.openxmlformats.org/officeDocument/2006/relationships/hyperlink" Target="https://forbes.com/sites/forbescoachescouncil/2020" TargetMode="External"/><Relationship Id="rId6" Type="http://schemas.openxmlformats.org/officeDocument/2006/relationships/hyperlink" Target="https://psychiatry.org" TargetMode="External"/><Relationship Id="rId11" Type="http://schemas.openxmlformats.org/officeDocument/2006/relationships/hyperlink" Target="https://psychiatry.org" TargetMode="External"/><Relationship Id="rId5" Type="http://schemas.openxmlformats.org/officeDocument/2006/relationships/hyperlink" Target="https://psychiatry.org" TargetMode="External"/><Relationship Id="rId15" Type="http://schemas.openxmlformats.org/officeDocument/2006/relationships/hyperlink" Target="https://www.mckinsey.com/business-functions/organization" TargetMode="External"/><Relationship Id="rId10" Type="http://schemas.openxmlformats.org/officeDocument/2006/relationships/hyperlink" Target="https://psychiatry.org" TargetMode="External"/><Relationship Id="rId4" Type="http://schemas.openxmlformats.org/officeDocument/2006/relationships/hyperlink" Target="https://psychiarty.org" TargetMode="External"/><Relationship Id="rId9" Type="http://schemas.openxmlformats.org/officeDocument/2006/relationships/hyperlink" Target="https://psychiatry.org" TargetMode="External"/><Relationship Id="rId14" Type="http://schemas.openxmlformats.org/officeDocument/2006/relationships/hyperlink" Target="https://www.americanbar.org/groups/professional_responsibility/task_force_lawyer_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72AFB-FF4D-4C45-BE79-6016E1876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4087</Words>
  <Characters>23300</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Jones</dc:creator>
  <cp:keywords/>
  <dc:description/>
  <cp:lastModifiedBy>Janet Vancuyk</cp:lastModifiedBy>
  <cp:revision>2</cp:revision>
  <dcterms:created xsi:type="dcterms:W3CDTF">2021-08-12T02:15:00Z</dcterms:created>
  <dcterms:modified xsi:type="dcterms:W3CDTF">2021-08-12T02:15:00Z</dcterms:modified>
</cp:coreProperties>
</file>